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DC2C85" w14:textId="397BBC65" w:rsidR="00B8059D" w:rsidRDefault="00B8059D" w:rsidP="00B8059D">
      <w:pPr>
        <w:spacing w:before="80"/>
        <w:ind w:left="346" w:right="346"/>
        <w:jc w:val="center"/>
        <w:rPr>
          <w:rFonts w:ascii="Trebuchet MS" w:hAnsi="Trebuchet MS" w:cstheme="majorBidi"/>
          <w:b/>
          <w:bCs/>
          <w:lang w:val="id-ID"/>
        </w:rPr>
      </w:pPr>
      <w:r w:rsidRPr="00B8059D">
        <w:rPr>
          <w:rFonts w:ascii="Trebuchet MS" w:hAnsi="Trebuchet MS" w:cstheme="majorBidi"/>
          <w:b/>
          <w:bCs/>
          <w:lang w:val="id-ID"/>
        </w:rPr>
        <w:t>ANALISIS HUBUNGAN NILAI-NILAI PUBLIK DAN MINAT BERKARIER DI SEKTOR PUBLIK PADA GENERASI MUDA</w:t>
      </w:r>
    </w:p>
    <w:p w14:paraId="5CAECF2E" w14:textId="77777777" w:rsidR="00B8059D" w:rsidRPr="00B8059D" w:rsidRDefault="00B8059D" w:rsidP="00B8059D">
      <w:pPr>
        <w:spacing w:before="80"/>
        <w:ind w:left="346" w:right="346"/>
        <w:jc w:val="center"/>
        <w:rPr>
          <w:rFonts w:ascii="Trebuchet MS" w:hAnsi="Trebuchet MS" w:cstheme="majorBidi"/>
          <w:b/>
          <w:bCs/>
          <w:sz w:val="16"/>
          <w:szCs w:val="16"/>
          <w:lang w:val="id-ID"/>
        </w:rPr>
      </w:pPr>
    </w:p>
    <w:p w14:paraId="3CD83A22" w14:textId="309ACF6D" w:rsidR="009F0C46" w:rsidRPr="00B8059D" w:rsidRDefault="00B8059D">
      <w:pPr>
        <w:shd w:val="clear" w:color="auto" w:fill="222A35"/>
        <w:jc w:val="both"/>
        <w:rPr>
          <w:rFonts w:ascii="Trebuchet MS" w:eastAsia="Trebuchet MS" w:hAnsi="Trebuchet MS" w:cs="Trebuchet MS"/>
          <w:b/>
          <w:lang w:val="id-ID"/>
        </w:rPr>
      </w:pPr>
      <w:r>
        <w:rPr>
          <w:rFonts w:ascii="Trebuchet MS" w:eastAsia="Trebuchet MS" w:hAnsi="Trebuchet MS" w:cs="Trebuchet MS"/>
          <w:b/>
          <w:color w:val="FFFFFF"/>
          <w:lang w:val="id-ID"/>
        </w:rPr>
        <w:t>Syafa Anindya Putri</w:t>
      </w:r>
      <w:r>
        <w:rPr>
          <w:rFonts w:ascii="Trebuchet MS" w:eastAsia="Trebuchet MS" w:hAnsi="Trebuchet MS" w:cs="Trebuchet MS"/>
          <w:b/>
          <w:color w:val="FFFFFF"/>
          <w:vertAlign w:val="superscript"/>
          <w:lang w:val="id-ID"/>
        </w:rPr>
        <w:t>1</w:t>
      </w:r>
      <w:r>
        <w:rPr>
          <w:rFonts w:ascii="Trebuchet MS" w:eastAsia="Trebuchet MS" w:hAnsi="Trebuchet MS" w:cs="Trebuchet MS"/>
          <w:b/>
          <w:color w:val="FFFFFF"/>
          <w:lang w:val="id-ID"/>
        </w:rPr>
        <w:t>, Regina Pastica</w:t>
      </w:r>
      <w:r>
        <w:rPr>
          <w:rFonts w:ascii="Trebuchet MS" w:eastAsia="Trebuchet MS" w:hAnsi="Trebuchet MS" w:cs="Trebuchet MS"/>
          <w:b/>
          <w:color w:val="FFFFFF"/>
          <w:vertAlign w:val="superscript"/>
          <w:lang w:val="id-ID"/>
        </w:rPr>
        <w:t>2</w:t>
      </w:r>
      <w:r>
        <w:rPr>
          <w:rFonts w:ascii="Trebuchet MS" w:eastAsia="Trebuchet MS" w:hAnsi="Trebuchet MS" w:cs="Trebuchet MS"/>
          <w:b/>
          <w:color w:val="FFFFFF"/>
          <w:lang w:val="id-ID"/>
        </w:rPr>
        <w:t>, Dzihni Laila Nur Azzizah</w:t>
      </w:r>
      <w:r>
        <w:rPr>
          <w:rFonts w:ascii="Trebuchet MS" w:eastAsia="Trebuchet MS" w:hAnsi="Trebuchet MS" w:cs="Trebuchet MS"/>
          <w:b/>
          <w:color w:val="FFFFFF"/>
          <w:vertAlign w:val="superscript"/>
          <w:lang w:val="id-ID"/>
        </w:rPr>
        <w:t>3</w:t>
      </w:r>
      <w:r>
        <w:rPr>
          <w:rFonts w:ascii="Trebuchet MS" w:eastAsia="Trebuchet MS" w:hAnsi="Trebuchet MS" w:cs="Trebuchet MS"/>
          <w:b/>
          <w:color w:val="FFFFFF"/>
          <w:lang w:val="id-ID"/>
        </w:rPr>
        <w:t>, Naratanaya Adiamita</w:t>
      </w:r>
      <w:r>
        <w:rPr>
          <w:rFonts w:ascii="Trebuchet MS" w:eastAsia="Trebuchet MS" w:hAnsi="Trebuchet MS" w:cs="Trebuchet MS"/>
          <w:b/>
          <w:color w:val="FFFFFF"/>
          <w:vertAlign w:val="superscript"/>
          <w:lang w:val="id-ID"/>
        </w:rPr>
        <w:t>4</w:t>
      </w:r>
      <w:r>
        <w:rPr>
          <w:rFonts w:ascii="Trebuchet MS" w:eastAsia="Trebuchet MS" w:hAnsi="Trebuchet MS" w:cs="Trebuchet MS"/>
          <w:b/>
          <w:color w:val="FFFFFF"/>
          <w:lang w:val="id-ID"/>
        </w:rPr>
        <w:t>, Rizka Nur Khasanah</w:t>
      </w:r>
      <w:r>
        <w:rPr>
          <w:rFonts w:ascii="Trebuchet MS" w:eastAsia="Trebuchet MS" w:hAnsi="Trebuchet MS" w:cs="Trebuchet MS"/>
          <w:b/>
          <w:color w:val="FFFFFF"/>
          <w:vertAlign w:val="superscript"/>
          <w:lang w:val="id-ID"/>
        </w:rPr>
        <w:t>5</w:t>
      </w:r>
      <w:r>
        <w:rPr>
          <w:rFonts w:ascii="Trebuchet MS" w:eastAsia="Trebuchet MS" w:hAnsi="Trebuchet MS" w:cs="Trebuchet MS"/>
          <w:b/>
          <w:color w:val="FFFFFF"/>
          <w:lang w:val="id-ID"/>
        </w:rPr>
        <w:t>, Muhammad Khoirul Anwar</w:t>
      </w:r>
      <w:r>
        <w:rPr>
          <w:rFonts w:ascii="Trebuchet MS" w:eastAsia="Trebuchet MS" w:hAnsi="Trebuchet MS" w:cs="Trebuchet MS"/>
          <w:b/>
          <w:color w:val="FFFFFF"/>
          <w:vertAlign w:val="superscript"/>
          <w:lang w:val="id-ID"/>
        </w:rPr>
        <w:t>6</w:t>
      </w:r>
      <w:r w:rsidRPr="00B8059D">
        <w:rPr>
          <w:rFonts w:ascii="Trebuchet MS" w:eastAsia="Trebuchet MS" w:hAnsi="Trebuchet MS" w:cs="Trebuchet MS"/>
          <w:b/>
          <w:color w:val="FFFFFF"/>
          <w:vertAlign w:val="superscript"/>
          <w:lang w:val="id-ID"/>
        </w:rPr>
        <w:t xml:space="preserve"> </w:t>
      </w:r>
    </w:p>
    <w:p w14:paraId="4E3AF966" w14:textId="3FCC7CA3" w:rsidR="009F0C46" w:rsidRPr="00B8059D" w:rsidRDefault="00000000">
      <w:pPr>
        <w:spacing w:before="60"/>
        <w:rPr>
          <w:rFonts w:ascii="Trebuchet MS" w:eastAsia="Trebuchet MS" w:hAnsi="Trebuchet MS" w:cs="Trebuchet MS"/>
          <w:color w:val="000000"/>
          <w:lang w:val="sv-SE"/>
        </w:rPr>
      </w:pPr>
      <w:r w:rsidRPr="00B8059D">
        <w:rPr>
          <w:rFonts w:ascii="Trebuchet MS" w:eastAsia="Trebuchet MS" w:hAnsi="Trebuchet MS" w:cs="Trebuchet MS"/>
          <w:color w:val="000000"/>
          <w:lang w:val="sv-SE"/>
        </w:rPr>
        <w:t xml:space="preserve">Ilmu </w:t>
      </w:r>
      <w:r w:rsidR="00B8059D">
        <w:rPr>
          <w:rFonts w:ascii="Trebuchet MS" w:eastAsia="Trebuchet MS" w:hAnsi="Trebuchet MS" w:cs="Trebuchet MS"/>
          <w:color w:val="000000"/>
          <w:lang w:val="sv-SE"/>
        </w:rPr>
        <w:t>Administrasi Publik</w:t>
      </w:r>
      <w:r w:rsidRPr="00B8059D">
        <w:rPr>
          <w:rFonts w:ascii="Trebuchet MS" w:eastAsia="Trebuchet MS" w:hAnsi="Trebuchet MS" w:cs="Trebuchet MS"/>
          <w:color w:val="000000"/>
          <w:lang w:val="sv-SE"/>
        </w:rPr>
        <w:t xml:space="preserve">, Fakultas Ilmu Sosial dan Ilmu Politik, Universitas Muhammadiyah </w:t>
      </w:r>
      <w:r w:rsidR="00B8059D">
        <w:rPr>
          <w:rFonts w:ascii="Trebuchet MS" w:eastAsia="Trebuchet MS" w:hAnsi="Trebuchet MS" w:cs="Trebuchet MS"/>
          <w:color w:val="000000"/>
          <w:lang w:val="sv-SE"/>
        </w:rPr>
        <w:t>Jakarta</w:t>
      </w:r>
    </w:p>
    <w:p w14:paraId="477EB018" w14:textId="77777777" w:rsidR="009F0C46" w:rsidRPr="00B8059D" w:rsidRDefault="009F0C46">
      <w:pPr>
        <w:pBdr>
          <w:top w:val="nil"/>
          <w:left w:val="nil"/>
          <w:bottom w:val="single" w:sz="4" w:space="1" w:color="000000"/>
          <w:right w:val="nil"/>
          <w:between w:val="nil"/>
        </w:pBdr>
        <w:rPr>
          <w:rFonts w:ascii="Trebuchet MS" w:eastAsia="Trebuchet MS" w:hAnsi="Trebuchet MS" w:cs="Trebuchet MS"/>
          <w:i/>
          <w:color w:val="000000"/>
          <w:lang w:val="sv-SE"/>
        </w:rPr>
      </w:pPr>
    </w:p>
    <w:p w14:paraId="62367417" w14:textId="77777777" w:rsidR="009F0C46" w:rsidRPr="00B8059D" w:rsidRDefault="00000000">
      <w:pPr>
        <w:jc w:val="both"/>
        <w:rPr>
          <w:rFonts w:ascii="Trebuchet MS" w:eastAsia="Trebuchet MS" w:hAnsi="Trebuchet MS" w:cs="Trebuchet MS"/>
          <w:lang w:val="sv-SE"/>
        </w:rPr>
      </w:pPr>
      <w:r w:rsidRPr="00B8059D">
        <w:rPr>
          <w:rFonts w:ascii="Trebuchet MS" w:eastAsia="Trebuchet MS" w:hAnsi="Trebuchet MS" w:cs="Trebuchet MS"/>
          <w:b/>
          <w:lang w:val="sv-SE"/>
        </w:rPr>
        <w:t xml:space="preserve">A B S T R A K </w:t>
      </w:r>
      <w:r w:rsidRPr="00B8059D">
        <w:rPr>
          <w:rFonts w:ascii="Trebuchet MS" w:eastAsia="Trebuchet MS" w:hAnsi="Trebuchet MS" w:cs="Trebuchet MS"/>
          <w:lang w:val="sv-SE"/>
        </w:rPr>
        <w:tab/>
      </w:r>
      <w:r w:rsidRPr="00B8059D">
        <w:rPr>
          <w:rFonts w:ascii="Trebuchet MS" w:eastAsia="Trebuchet MS" w:hAnsi="Trebuchet MS" w:cs="Trebuchet MS"/>
          <w:lang w:val="sv-SE"/>
        </w:rPr>
        <w:tab/>
      </w:r>
      <w:r w:rsidRPr="00B8059D">
        <w:rPr>
          <w:rFonts w:ascii="Trebuchet MS" w:eastAsia="Trebuchet MS" w:hAnsi="Trebuchet MS" w:cs="Trebuchet MS"/>
          <w:lang w:val="sv-SE"/>
        </w:rPr>
        <w:tab/>
      </w:r>
      <w:r w:rsidRPr="00B8059D">
        <w:rPr>
          <w:rFonts w:ascii="Trebuchet MS" w:eastAsia="Trebuchet MS" w:hAnsi="Trebuchet MS" w:cs="Trebuchet MS"/>
          <w:lang w:val="sv-SE"/>
        </w:rPr>
        <w:tab/>
      </w:r>
      <w:r w:rsidRPr="00B8059D">
        <w:rPr>
          <w:rFonts w:ascii="Trebuchet MS" w:eastAsia="Trebuchet MS" w:hAnsi="Trebuchet MS" w:cs="Trebuchet MS"/>
          <w:lang w:val="sv-SE"/>
        </w:rPr>
        <w:tab/>
      </w:r>
      <w:r w:rsidRPr="00B8059D">
        <w:rPr>
          <w:rFonts w:ascii="Trebuchet MS" w:eastAsia="Trebuchet MS" w:hAnsi="Trebuchet MS" w:cs="Trebuchet MS"/>
          <w:lang w:val="sv-SE"/>
        </w:rPr>
        <w:tab/>
      </w:r>
      <w:r w:rsidRPr="00B8059D">
        <w:rPr>
          <w:rFonts w:ascii="Trebuchet MS" w:eastAsia="Trebuchet MS" w:hAnsi="Trebuchet MS" w:cs="Trebuchet MS"/>
          <w:lang w:val="sv-SE"/>
        </w:rPr>
        <w:tab/>
      </w:r>
      <w:r>
        <w:rPr>
          <w:noProof/>
        </w:rPr>
        <mc:AlternateContent>
          <mc:Choice Requires="wps">
            <w:drawing>
              <wp:anchor distT="45720" distB="45720" distL="114300" distR="114300" simplePos="0" relativeHeight="251658240" behindDoc="0" locked="0" layoutInCell="1" hidden="0" allowOverlap="1" wp14:anchorId="6CDFC002" wp14:editId="5ED5EC09">
                <wp:simplePos x="0" y="0"/>
                <wp:positionH relativeFrom="column">
                  <wp:posOffset>1</wp:posOffset>
                </wp:positionH>
                <wp:positionV relativeFrom="paragraph">
                  <wp:posOffset>160020</wp:posOffset>
                </wp:positionV>
                <wp:extent cx="1889125" cy="2857420"/>
                <wp:effectExtent l="0" t="0" r="0" b="0"/>
                <wp:wrapSquare wrapText="bothSides" distT="45720" distB="45720" distL="114300" distR="114300"/>
                <wp:docPr id="1949760647" name="Rectangle 1949760647"/>
                <wp:cNvGraphicFramePr/>
                <a:graphic xmlns:a="http://schemas.openxmlformats.org/drawingml/2006/main">
                  <a:graphicData uri="http://schemas.microsoft.com/office/word/2010/wordprocessingShape">
                    <wps:wsp>
                      <wps:cNvSpPr/>
                      <wps:spPr>
                        <a:xfrm>
                          <a:off x="4406200" y="2357600"/>
                          <a:ext cx="1879600" cy="2844800"/>
                        </a:xfrm>
                        <a:prstGeom prst="rect">
                          <a:avLst/>
                        </a:prstGeom>
                        <a:solidFill>
                          <a:srgbClr val="FFFFFF"/>
                        </a:solidFill>
                        <a:ln>
                          <a:noFill/>
                        </a:ln>
                      </wps:spPr>
                      <wps:txbx>
                        <w:txbxContent>
                          <w:p w14:paraId="0D6A8182" w14:textId="77777777" w:rsidR="009F0C46" w:rsidRDefault="00000000">
                            <w:pPr>
                              <w:textDirection w:val="btLr"/>
                            </w:pPr>
                            <w:r>
                              <w:rPr>
                                <w:rFonts w:ascii="Cambria" w:eastAsia="Cambria" w:hAnsi="Cambria" w:cs="Cambria"/>
                                <w:b/>
                                <w:color w:val="000000"/>
                                <w:sz w:val="18"/>
                              </w:rPr>
                              <w:t>A R T I C L E   I N F O</w:t>
                            </w:r>
                          </w:p>
                          <w:p w14:paraId="49F71225" w14:textId="77777777" w:rsidR="009F0C46" w:rsidRDefault="009F0C46">
                            <w:pPr>
                              <w:textDirection w:val="btLr"/>
                            </w:pPr>
                          </w:p>
                          <w:p w14:paraId="267FFEF1" w14:textId="77777777" w:rsidR="009F0C46" w:rsidRDefault="00000000">
                            <w:pPr>
                              <w:textDirection w:val="btLr"/>
                            </w:pPr>
                            <w:r>
                              <w:rPr>
                                <w:rFonts w:ascii="Cambria" w:eastAsia="Cambria" w:hAnsi="Cambria" w:cs="Cambria"/>
                                <w:b/>
                                <w:color w:val="000000"/>
                                <w:sz w:val="16"/>
                              </w:rPr>
                              <w:t>Article history:</w:t>
                            </w:r>
                          </w:p>
                          <w:p w14:paraId="176433CD" w14:textId="77777777" w:rsidR="009F0C46" w:rsidRDefault="00000000">
                            <w:pPr>
                              <w:textDirection w:val="btLr"/>
                            </w:pPr>
                            <w:r>
                              <w:rPr>
                                <w:rFonts w:ascii="Cambria" w:eastAsia="Cambria" w:hAnsi="Cambria" w:cs="Cambria"/>
                                <w:color w:val="000000"/>
                                <w:sz w:val="16"/>
                              </w:rPr>
                              <w:t>Received November, 2025</w:t>
                            </w:r>
                          </w:p>
                          <w:p w14:paraId="7A24078D" w14:textId="77777777" w:rsidR="009F0C46" w:rsidRDefault="00000000">
                            <w:pPr>
                              <w:textDirection w:val="btLr"/>
                            </w:pPr>
                            <w:r>
                              <w:rPr>
                                <w:rFonts w:ascii="Cambria" w:eastAsia="Cambria" w:hAnsi="Cambria" w:cs="Cambria"/>
                                <w:color w:val="000000"/>
                                <w:sz w:val="16"/>
                              </w:rPr>
                              <w:t>Revised November, 2025</w:t>
                            </w:r>
                          </w:p>
                          <w:p w14:paraId="5342A262" w14:textId="77777777" w:rsidR="009F0C46" w:rsidRDefault="00000000">
                            <w:pPr>
                              <w:textDirection w:val="btLr"/>
                            </w:pPr>
                            <w:r>
                              <w:rPr>
                                <w:rFonts w:ascii="Cambria" w:eastAsia="Cambria" w:hAnsi="Cambria" w:cs="Cambria"/>
                                <w:color w:val="000000"/>
                                <w:sz w:val="16"/>
                              </w:rPr>
                              <w:t>Accepted November, 2025</w:t>
                            </w:r>
                          </w:p>
                          <w:p w14:paraId="3E5C74AD" w14:textId="77777777" w:rsidR="009F0C46" w:rsidRDefault="00000000">
                            <w:pPr>
                              <w:textDirection w:val="btLr"/>
                            </w:pPr>
                            <w:r>
                              <w:rPr>
                                <w:rFonts w:ascii="Cambria" w:eastAsia="Cambria" w:hAnsi="Cambria" w:cs="Cambria"/>
                                <w:color w:val="000000"/>
                                <w:sz w:val="16"/>
                              </w:rPr>
                              <w:t xml:space="preserve">Available November </w:t>
                            </w:r>
                            <w:proofErr w:type="gramStart"/>
                            <w:r>
                              <w:rPr>
                                <w:rFonts w:ascii="Cambria" w:eastAsia="Cambria" w:hAnsi="Cambria" w:cs="Cambria"/>
                                <w:color w:val="000000"/>
                                <w:sz w:val="16"/>
                              </w:rPr>
                              <w:t>Oktober ,</w:t>
                            </w:r>
                            <w:proofErr w:type="gramEnd"/>
                            <w:r>
                              <w:rPr>
                                <w:rFonts w:ascii="Cambria" w:eastAsia="Cambria" w:hAnsi="Cambria" w:cs="Cambria"/>
                                <w:color w:val="000000"/>
                                <w:sz w:val="16"/>
                              </w:rPr>
                              <w:t xml:space="preserve"> 2025</w:t>
                            </w:r>
                          </w:p>
                          <w:p w14:paraId="7BF4D9F9" w14:textId="77777777" w:rsidR="009F0C46" w:rsidRDefault="009F0C46">
                            <w:pPr>
                              <w:textDirection w:val="btLr"/>
                            </w:pPr>
                          </w:p>
                          <w:p w14:paraId="745E8384" w14:textId="7830E2DC" w:rsidR="009F0C46" w:rsidRDefault="00F4463B">
                            <w:pPr>
                              <w:textDirection w:val="btLr"/>
                            </w:pPr>
                            <w:r w:rsidRPr="00F4463B">
                              <w:rPr>
                                <w:rFonts w:ascii="Cambria" w:eastAsia="Cambria" w:hAnsi="Cambria" w:cs="Cambria"/>
                                <w:color w:val="0000FF"/>
                                <w:sz w:val="20"/>
                                <w:u w:val="single"/>
                              </w:rPr>
                              <w:t>syafaanindya1507@gmail.com, reginapasticaregina@gmail.com, dzihnilaila2@gmail.com, nayaadia99@gmail.com, riskakhasanah06@gmail.com, m.khoirulanwar@umj.ac.id</w:t>
                            </w:r>
                          </w:p>
                          <w:p w14:paraId="68E853C4" w14:textId="77777777" w:rsidR="009F0C46" w:rsidRDefault="009F0C46">
                            <w:pPr>
                              <w:textDirection w:val="btLr"/>
                            </w:pPr>
                          </w:p>
                          <w:p w14:paraId="33E266F0" w14:textId="77777777" w:rsidR="009F0C46" w:rsidRDefault="009F0C46">
                            <w:pPr>
                              <w:textDirection w:val="btLr"/>
                            </w:pPr>
                          </w:p>
                          <w:p w14:paraId="0F93CBC6" w14:textId="77777777" w:rsidR="009F0C46" w:rsidRDefault="00000000">
                            <w:pPr>
                              <w:spacing w:before="120"/>
                              <w:jc w:val="both"/>
                              <w:textDirection w:val="btLr"/>
                            </w:pPr>
                            <w:r>
                              <w:rPr>
                                <w:rFonts w:ascii="Cambria" w:eastAsia="Cambria" w:hAnsi="Cambria" w:cs="Cambria"/>
                                <w:i/>
                                <w:color w:val="000000"/>
                                <w:sz w:val="12"/>
                              </w:rPr>
                              <w:t xml:space="preserve">This is an open access article under the </w:t>
                            </w:r>
                            <w:r>
                              <w:rPr>
                                <w:rFonts w:ascii="Cambria" w:eastAsia="Cambria" w:hAnsi="Cambria" w:cs="Cambria"/>
                                <w:i/>
                                <w:color w:val="0000FF"/>
                                <w:sz w:val="12"/>
                                <w:u w:val="single"/>
                              </w:rPr>
                              <w:t>CC BY-SA</w:t>
                            </w:r>
                            <w:r>
                              <w:rPr>
                                <w:rFonts w:ascii="Cambria" w:eastAsia="Cambria" w:hAnsi="Cambria" w:cs="Cambria"/>
                                <w:i/>
                                <w:color w:val="000000"/>
                                <w:sz w:val="12"/>
                              </w:rPr>
                              <w:t xml:space="preserve"> license.</w:t>
                            </w:r>
                            <w:r>
                              <w:rPr>
                                <w:rFonts w:ascii="Cambria" w:eastAsia="Cambria" w:hAnsi="Cambria" w:cs="Cambria"/>
                                <w:color w:val="000000"/>
                                <w:sz w:val="18"/>
                              </w:rPr>
                              <w:t xml:space="preserve"> </w:t>
                            </w:r>
                          </w:p>
                          <w:p w14:paraId="33FD2274" w14:textId="77777777" w:rsidR="009F0C46" w:rsidRDefault="00000000">
                            <w:pPr>
                              <w:jc w:val="both"/>
                              <w:textDirection w:val="btLr"/>
                            </w:pPr>
                            <w:r>
                              <w:rPr>
                                <w:rFonts w:ascii="Cambria" w:eastAsia="Cambria" w:hAnsi="Cambria" w:cs="Cambria"/>
                                <w:i/>
                                <w:color w:val="000000"/>
                                <w:sz w:val="12"/>
                              </w:rPr>
                              <w:t xml:space="preserve">Copyright © 2023 by Author. Published by Cahaya </w:t>
                            </w:r>
                            <w:proofErr w:type="spellStart"/>
                            <w:r>
                              <w:rPr>
                                <w:rFonts w:ascii="Cambria" w:eastAsia="Cambria" w:hAnsi="Cambria" w:cs="Cambria"/>
                                <w:i/>
                                <w:color w:val="000000"/>
                                <w:sz w:val="12"/>
                              </w:rPr>
                              <w:t>Ilmu</w:t>
                            </w:r>
                            <w:proofErr w:type="spellEnd"/>
                            <w:r>
                              <w:rPr>
                                <w:rFonts w:ascii="Cambria" w:eastAsia="Cambria" w:hAnsi="Cambria" w:cs="Cambria"/>
                                <w:i/>
                                <w:color w:val="000000"/>
                                <w:sz w:val="12"/>
                              </w:rPr>
                              <w:t xml:space="preserve"> </w:t>
                            </w:r>
                            <w:proofErr w:type="spellStart"/>
                            <w:r>
                              <w:rPr>
                                <w:rFonts w:ascii="Cambria" w:eastAsia="Cambria" w:hAnsi="Cambria" w:cs="Cambria"/>
                                <w:i/>
                                <w:color w:val="000000"/>
                                <w:sz w:val="12"/>
                              </w:rPr>
                              <w:t>Bangsa</w:t>
                            </w:r>
                            <w:proofErr w:type="spellEnd"/>
                            <w:r>
                              <w:rPr>
                                <w:rFonts w:ascii="Cambria" w:eastAsia="Cambria" w:hAnsi="Cambria" w:cs="Cambria"/>
                                <w:i/>
                                <w:color w:val="000000"/>
                                <w:sz w:val="12"/>
                              </w:rPr>
                              <w:t xml:space="preserve"> Institute</w:t>
                            </w:r>
                          </w:p>
                          <w:p w14:paraId="111F8679" w14:textId="77777777" w:rsidR="009F0C46" w:rsidRDefault="009F0C46">
                            <w:pPr>
                              <w:textDirection w:val="btLr"/>
                            </w:pPr>
                          </w:p>
                        </w:txbxContent>
                      </wps:txbx>
                      <wps:bodyPr spcFirstLastPara="1" wrap="square" lIns="0" tIns="0" rIns="82275" bIns="0" anchor="t" anchorCtr="0">
                        <a:noAutofit/>
                      </wps:bodyPr>
                    </wps:wsp>
                  </a:graphicData>
                </a:graphic>
              </wp:anchor>
            </w:drawing>
          </mc:Choice>
          <mc:Fallback>
            <w:pict>
              <v:rect w14:anchorId="6CDFC002" id="Rectangle 1949760647" o:spid="_x0000_s1026" style="position:absolute;left:0;text-align:left;margin-left:0;margin-top:12.6pt;width:148.75pt;height:22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" stroked="f">
                <v:textbox inset="0,0,2.28542mm,0">
                  <w:txbxContent>
                    <w:p w14:paraId="0D6A8182" w14:textId="77777777" w:rsidR="009F0C46" w:rsidRDefault="00000000">
                      <w:pPr>
                        <w:textDirection w:val="btLr"/>
                      </w:pPr>
                      <w:r>
                        <w:rPr>
                          <w:rFonts w:ascii="Cambria" w:eastAsia="Cambria" w:hAnsi="Cambria" w:cs="Cambria"/>
                          <w:b/>
                          <w:color w:val="000000"/>
                          <w:sz w:val="18"/>
                        </w:rPr>
                        <w:t>A R T I C L E   I N F O</w:t>
                      </w:r>
                    </w:p>
                    <w:p w14:paraId="49F71225" w14:textId="77777777" w:rsidR="009F0C46" w:rsidRDefault="009F0C46">
                      <w:pPr>
                        <w:textDirection w:val="btLr"/>
                      </w:pPr>
                    </w:p>
                    <w:p w14:paraId="267FFEF1" w14:textId="77777777" w:rsidR="009F0C46" w:rsidRDefault="00000000">
                      <w:pPr>
                        <w:textDirection w:val="btLr"/>
                      </w:pPr>
                      <w:r>
                        <w:rPr>
                          <w:rFonts w:ascii="Cambria" w:eastAsia="Cambria" w:hAnsi="Cambria" w:cs="Cambria"/>
                          <w:b/>
                          <w:color w:val="000000"/>
                          <w:sz w:val="16"/>
                        </w:rPr>
                        <w:t>Article history:</w:t>
                      </w:r>
                    </w:p>
                    <w:p w14:paraId="176433CD" w14:textId="77777777" w:rsidR="009F0C46" w:rsidRDefault="00000000">
                      <w:pPr>
                        <w:textDirection w:val="btLr"/>
                      </w:pPr>
                      <w:r>
                        <w:rPr>
                          <w:rFonts w:ascii="Cambria" w:eastAsia="Cambria" w:hAnsi="Cambria" w:cs="Cambria"/>
                          <w:color w:val="000000"/>
                          <w:sz w:val="16"/>
                        </w:rPr>
                        <w:t>Received November, 2025</w:t>
                      </w:r>
                    </w:p>
                    <w:p w14:paraId="7A24078D" w14:textId="77777777" w:rsidR="009F0C46" w:rsidRDefault="00000000">
                      <w:pPr>
                        <w:textDirection w:val="btLr"/>
                      </w:pPr>
                      <w:r>
                        <w:rPr>
                          <w:rFonts w:ascii="Cambria" w:eastAsia="Cambria" w:hAnsi="Cambria" w:cs="Cambria"/>
                          <w:color w:val="000000"/>
                          <w:sz w:val="16"/>
                        </w:rPr>
                        <w:t>Revised November, 2025</w:t>
                      </w:r>
                    </w:p>
                    <w:p w14:paraId="5342A262" w14:textId="77777777" w:rsidR="009F0C46" w:rsidRDefault="00000000">
                      <w:pPr>
                        <w:textDirection w:val="btLr"/>
                      </w:pPr>
                      <w:r>
                        <w:rPr>
                          <w:rFonts w:ascii="Cambria" w:eastAsia="Cambria" w:hAnsi="Cambria" w:cs="Cambria"/>
                          <w:color w:val="000000"/>
                          <w:sz w:val="16"/>
                        </w:rPr>
                        <w:t>Accepted November, 2025</w:t>
                      </w:r>
                    </w:p>
                    <w:p w14:paraId="3E5C74AD" w14:textId="77777777" w:rsidR="009F0C46" w:rsidRDefault="00000000">
                      <w:pPr>
                        <w:textDirection w:val="btLr"/>
                      </w:pPr>
                      <w:r>
                        <w:rPr>
                          <w:rFonts w:ascii="Cambria" w:eastAsia="Cambria" w:hAnsi="Cambria" w:cs="Cambria"/>
                          <w:color w:val="000000"/>
                          <w:sz w:val="16"/>
                        </w:rPr>
                        <w:t xml:space="preserve">Available November </w:t>
                      </w:r>
                      <w:proofErr w:type="gramStart"/>
                      <w:r>
                        <w:rPr>
                          <w:rFonts w:ascii="Cambria" w:eastAsia="Cambria" w:hAnsi="Cambria" w:cs="Cambria"/>
                          <w:color w:val="000000"/>
                          <w:sz w:val="16"/>
                        </w:rPr>
                        <w:t>Oktober ,</w:t>
                      </w:r>
                      <w:proofErr w:type="gramEnd"/>
                      <w:r>
                        <w:rPr>
                          <w:rFonts w:ascii="Cambria" w:eastAsia="Cambria" w:hAnsi="Cambria" w:cs="Cambria"/>
                          <w:color w:val="000000"/>
                          <w:sz w:val="16"/>
                        </w:rPr>
                        <w:t xml:space="preserve"> 2025</w:t>
                      </w:r>
                    </w:p>
                    <w:p w14:paraId="7BF4D9F9" w14:textId="77777777" w:rsidR="009F0C46" w:rsidRDefault="009F0C46">
                      <w:pPr>
                        <w:textDirection w:val="btLr"/>
                      </w:pPr>
                    </w:p>
                    <w:p w14:paraId="745E8384" w14:textId="7830E2DC" w:rsidR="009F0C46" w:rsidRDefault="00F4463B">
                      <w:pPr>
                        <w:textDirection w:val="btLr"/>
                      </w:pPr>
                      <w:r w:rsidRPr="00F4463B">
                        <w:rPr>
                          <w:rFonts w:ascii="Cambria" w:eastAsia="Cambria" w:hAnsi="Cambria" w:cs="Cambria"/>
                          <w:color w:val="0000FF"/>
                          <w:sz w:val="20"/>
                          <w:u w:val="single"/>
                        </w:rPr>
                        <w:t>syafaanindya1507@gmail.com, reginapasticaregina@gmail.com, dzihnilaila2@gmail.com, nayaadia99@gmail.com, riskakhasanah06@gmail.com, m.khoirulanwar@umj.ac.id</w:t>
                      </w:r>
                    </w:p>
                    <w:p w14:paraId="68E853C4" w14:textId="77777777" w:rsidR="009F0C46" w:rsidRDefault="009F0C46">
                      <w:pPr>
                        <w:textDirection w:val="btLr"/>
                      </w:pPr>
                    </w:p>
                    <w:p w14:paraId="33E266F0" w14:textId="77777777" w:rsidR="009F0C46" w:rsidRDefault="009F0C46">
                      <w:pPr>
                        <w:textDirection w:val="btLr"/>
                      </w:pPr>
                    </w:p>
                    <w:p w14:paraId="0F93CBC6" w14:textId="77777777" w:rsidR="009F0C46" w:rsidRDefault="00000000">
                      <w:pPr>
                        <w:spacing w:before="120"/>
                        <w:jc w:val="both"/>
                        <w:textDirection w:val="btLr"/>
                      </w:pPr>
                      <w:r>
                        <w:rPr>
                          <w:rFonts w:ascii="Cambria" w:eastAsia="Cambria" w:hAnsi="Cambria" w:cs="Cambria"/>
                          <w:i/>
                          <w:color w:val="000000"/>
                          <w:sz w:val="12"/>
                        </w:rPr>
                        <w:t xml:space="preserve">This is an open access article under the </w:t>
                      </w:r>
                      <w:r>
                        <w:rPr>
                          <w:rFonts w:ascii="Cambria" w:eastAsia="Cambria" w:hAnsi="Cambria" w:cs="Cambria"/>
                          <w:i/>
                          <w:color w:val="0000FF"/>
                          <w:sz w:val="12"/>
                          <w:u w:val="single"/>
                        </w:rPr>
                        <w:t>CC BY-SA</w:t>
                      </w:r>
                      <w:r>
                        <w:rPr>
                          <w:rFonts w:ascii="Cambria" w:eastAsia="Cambria" w:hAnsi="Cambria" w:cs="Cambria"/>
                          <w:i/>
                          <w:color w:val="000000"/>
                          <w:sz w:val="12"/>
                        </w:rPr>
                        <w:t xml:space="preserve"> license.</w:t>
                      </w:r>
                      <w:r>
                        <w:rPr>
                          <w:rFonts w:ascii="Cambria" w:eastAsia="Cambria" w:hAnsi="Cambria" w:cs="Cambria"/>
                          <w:color w:val="000000"/>
                          <w:sz w:val="18"/>
                        </w:rPr>
                        <w:t xml:space="preserve"> </w:t>
                      </w:r>
                    </w:p>
                    <w:p w14:paraId="33FD2274" w14:textId="77777777" w:rsidR="009F0C46" w:rsidRDefault="00000000">
                      <w:pPr>
                        <w:jc w:val="both"/>
                        <w:textDirection w:val="btLr"/>
                      </w:pPr>
                      <w:r>
                        <w:rPr>
                          <w:rFonts w:ascii="Cambria" w:eastAsia="Cambria" w:hAnsi="Cambria" w:cs="Cambria"/>
                          <w:i/>
                          <w:color w:val="000000"/>
                          <w:sz w:val="12"/>
                        </w:rPr>
                        <w:t xml:space="preserve">Copyright © 2023 by Author. Published by Cahaya </w:t>
                      </w:r>
                      <w:proofErr w:type="spellStart"/>
                      <w:r>
                        <w:rPr>
                          <w:rFonts w:ascii="Cambria" w:eastAsia="Cambria" w:hAnsi="Cambria" w:cs="Cambria"/>
                          <w:i/>
                          <w:color w:val="000000"/>
                          <w:sz w:val="12"/>
                        </w:rPr>
                        <w:t>Ilmu</w:t>
                      </w:r>
                      <w:proofErr w:type="spellEnd"/>
                      <w:r>
                        <w:rPr>
                          <w:rFonts w:ascii="Cambria" w:eastAsia="Cambria" w:hAnsi="Cambria" w:cs="Cambria"/>
                          <w:i/>
                          <w:color w:val="000000"/>
                          <w:sz w:val="12"/>
                        </w:rPr>
                        <w:t xml:space="preserve"> </w:t>
                      </w:r>
                      <w:proofErr w:type="spellStart"/>
                      <w:r>
                        <w:rPr>
                          <w:rFonts w:ascii="Cambria" w:eastAsia="Cambria" w:hAnsi="Cambria" w:cs="Cambria"/>
                          <w:i/>
                          <w:color w:val="000000"/>
                          <w:sz w:val="12"/>
                        </w:rPr>
                        <w:t>Bangsa</w:t>
                      </w:r>
                      <w:proofErr w:type="spellEnd"/>
                      <w:r>
                        <w:rPr>
                          <w:rFonts w:ascii="Cambria" w:eastAsia="Cambria" w:hAnsi="Cambria" w:cs="Cambria"/>
                          <w:i/>
                          <w:color w:val="000000"/>
                          <w:sz w:val="12"/>
                        </w:rPr>
                        <w:t xml:space="preserve"> Institute</w:t>
                      </w:r>
                    </w:p>
                    <w:p w14:paraId="111F8679" w14:textId="77777777" w:rsidR="009F0C46" w:rsidRDefault="009F0C46">
                      <w:pPr>
                        <w:textDirection w:val="btLr"/>
                      </w:pPr>
                    </w:p>
                  </w:txbxContent>
                </v:textbox>
                <w10:wrap type="square"/>
              </v:rect>
            </w:pict>
          </mc:Fallback>
        </mc:AlternateContent>
      </w:r>
    </w:p>
    <w:p w14:paraId="39594C91" w14:textId="14028117" w:rsidR="009F0C46" w:rsidRPr="00B8059D" w:rsidRDefault="00B8059D">
      <w:pPr>
        <w:jc w:val="both"/>
        <w:rPr>
          <w:rFonts w:ascii="Trebuchet MS" w:eastAsia="Trebuchet MS" w:hAnsi="Trebuchet MS" w:cs="Trebuchet MS"/>
          <w:lang w:val="id-ID"/>
        </w:rPr>
      </w:pPr>
      <w:r w:rsidRPr="00B8059D">
        <w:rPr>
          <w:rFonts w:ascii="Trebuchet MS" w:eastAsia="Trebuchet MS" w:hAnsi="Trebuchet MS" w:cs="Trebuchet MS"/>
          <w:lang w:val="sv-SE"/>
        </w:rPr>
        <w:t>Penelitian ini dilatarbelakangi oleh menurunnya minat generasi muda untuk berkarier di sektor publik, padahal sektor ini memiliki peran penting dalam mewujudkan tata kelola pemerintahan yang adil, transparan, dan berorientasi pada kepentingan masyarakat. Perubahan orientasi kerja, gaya hidup, serta daya tarik sektor swasta yang lebih fleksibel menjadi penyebab utama penurunan minat tersebut. Oleh karena itu, penelitian ini bertujuan untuk menganalisis hubungan antara nilai-nilai publik dengan minat berkarier di sektor publik pada generasi muda. Metode yang digunakan adalah studi pustaka (library research) dengan mengkaji berbagai literatur, jurnal, dan hasil penelitian terdahulu yang relevan. Analisis difokuskan pada pengaruh internalisasi nilai-nilai publik seperti keadilan, akuntabilitas, transparansi, efisiensi, dan orientasi pelayanan terhadap motivasi dan persepsi generasi muda mengenai sektor publik. Hasil kajian menunjukkan bahwa nilai-nilai publik seperti keadilan, akuntabilitas, dan transparansi berpengaruh positif terhadap minat generasi muda untuk berkarier di sektor publik. Namun, minat tersebut masih terhambat oleh budaya birokrasi yang kaku, kurangnya fleksibilitas kerja, serta isu politisasi jabatan. Kesimpulannya, penguatan nilai-nilai publik dan reformasi birokrasi yang adaptif serta berbasis meritokrasi diperlukan untuk menarik generasi muda agar melihat sektor publik sebagai tempat kerja yang bermakna, profesional, dan berkontribusi bagi masyarakat.</w:t>
      </w:r>
    </w:p>
    <w:p w14:paraId="40C72ACA" w14:textId="706C959C" w:rsidR="009F0C46" w:rsidRDefault="00000000" w:rsidP="00B8059D">
      <w:pPr>
        <w:rPr>
          <w:rFonts w:ascii="Trebuchet MS" w:eastAsia="Trebuchet MS" w:hAnsi="Trebuchet MS" w:cs="Trebuchet MS"/>
          <w:lang w:val="sv-SE"/>
        </w:rPr>
      </w:pPr>
      <w:r w:rsidRPr="00B8059D">
        <w:rPr>
          <w:rFonts w:ascii="Trebuchet MS" w:eastAsia="Trebuchet MS" w:hAnsi="Trebuchet MS" w:cs="Trebuchet MS"/>
          <w:b/>
          <w:lang w:val="sv-SE"/>
        </w:rPr>
        <w:t>Kata Kunci</w:t>
      </w:r>
      <w:r w:rsidRPr="00B8059D">
        <w:rPr>
          <w:rFonts w:ascii="Trebuchet MS" w:eastAsia="Trebuchet MS" w:hAnsi="Trebuchet MS" w:cs="Trebuchet MS"/>
          <w:b/>
          <w:i/>
          <w:lang w:val="sv-SE"/>
        </w:rPr>
        <w:t xml:space="preserve">: </w:t>
      </w:r>
      <w:r w:rsidR="00B8059D" w:rsidRPr="00B8059D">
        <w:rPr>
          <w:rFonts w:ascii="Trebuchet MS" w:eastAsia="Trebuchet MS" w:hAnsi="Trebuchet MS" w:cs="Trebuchet MS"/>
          <w:lang w:val="sv-SE"/>
        </w:rPr>
        <w:t>Nilai-nilai publik, Minat berkarier, Motivasi karier, Generasi muda, Sektor publik</w:t>
      </w:r>
    </w:p>
    <w:p w14:paraId="75ED56E1" w14:textId="77777777" w:rsidR="00B8059D" w:rsidRPr="00B8059D" w:rsidRDefault="00B8059D" w:rsidP="00B8059D">
      <w:pPr>
        <w:rPr>
          <w:rFonts w:ascii="Trebuchet MS" w:eastAsia="Trebuchet MS" w:hAnsi="Trebuchet MS" w:cs="Trebuchet MS"/>
          <w:lang w:val="sv-SE"/>
        </w:rPr>
      </w:pPr>
    </w:p>
    <w:p w14:paraId="33C15F80" w14:textId="77777777" w:rsidR="009F0C46" w:rsidRDefault="00000000">
      <w:pPr>
        <w:pBdr>
          <w:bottom w:val="single" w:sz="4" w:space="1" w:color="000000"/>
        </w:pBdr>
        <w:jc w:val="center"/>
        <w:rPr>
          <w:rFonts w:ascii="Trebuchet MS" w:eastAsia="Trebuchet MS" w:hAnsi="Trebuchet MS" w:cs="Trebuchet MS"/>
          <w:b/>
          <w:i/>
        </w:rPr>
      </w:pPr>
      <w:r>
        <w:rPr>
          <w:rFonts w:ascii="Trebuchet MS" w:eastAsia="Trebuchet MS" w:hAnsi="Trebuchet MS" w:cs="Trebuchet MS"/>
          <w:b/>
          <w:i/>
        </w:rPr>
        <w:t>A B S T R A C T</w:t>
      </w:r>
    </w:p>
    <w:p w14:paraId="7BA47424" w14:textId="6B76443D" w:rsidR="009F0C46" w:rsidRDefault="00B8059D" w:rsidP="00B8059D">
      <w:pPr>
        <w:jc w:val="both"/>
        <w:rPr>
          <w:rFonts w:ascii="Trebuchet MS" w:eastAsia="Trebuchet MS" w:hAnsi="Trebuchet MS" w:cs="Trebuchet MS"/>
          <w:i/>
          <w:color w:val="000000"/>
        </w:rPr>
        <w:sectPr w:rsidR="009F0C46">
          <w:headerReference w:type="even" r:id="rId8"/>
          <w:headerReference w:type="default" r:id="rId9"/>
          <w:footerReference w:type="even" r:id="rId10"/>
          <w:footerReference w:type="default" r:id="rId11"/>
          <w:headerReference w:type="first" r:id="rId12"/>
          <w:footerReference w:type="first" r:id="rId13"/>
          <w:pgSz w:w="11907" w:h="16839"/>
          <w:pgMar w:top="720" w:right="720" w:bottom="720" w:left="720" w:header="720" w:footer="720" w:gutter="0"/>
          <w:pgNumType w:start="1"/>
          <w:cols w:space="720"/>
          <w:titlePg/>
        </w:sectPr>
      </w:pPr>
      <w:r w:rsidRPr="00B8059D">
        <w:rPr>
          <w:rFonts w:ascii="Trebuchet MS" w:eastAsia="Trebuchet MS" w:hAnsi="Trebuchet MS" w:cs="Trebuchet MS"/>
          <w:i/>
          <w:color w:val="000000"/>
        </w:rPr>
        <w:t xml:space="preserve">This study was motivated by the declining interest of the younger generation in pursuing a career in the public sector, even though this sector plays an important role in realizing fair, transparent, and community-oriented governance. Changes in work orientation, lifestyle, and the more flexible appeal of the private sector are the main causes of this decline in interest. Therefore, this study aims to analyze the relationship between public values and interest in pursuing a career in the public sector among the younger generation. The method used is library research, reviewing various relevant literature, journals, and previous research results. The analysis focuses on the influence of the internalization of public values such as fairness, accountability, transparency, efficiency, and service orientation on the motivation and perceptions of the younger generation regarding the public sector. The results of the study show that public values such as fairness, accountability, and transparency have a positive effect on the younger generation's interest in pursuing a career in the public sector. However, this interest is still hampered by a rigid bureaucratic culture, lack of work flexibility, and issues of job politicization. In conclusion, strengthening public values and adaptive, meritocracy-based bureaucratic reform </w:t>
      </w:r>
      <w:r w:rsidRPr="00B8059D">
        <w:rPr>
          <w:rFonts w:ascii="Trebuchet MS" w:eastAsia="Trebuchet MS" w:hAnsi="Trebuchet MS" w:cs="Trebuchet MS"/>
          <w:i/>
          <w:color w:val="000000"/>
        </w:rPr>
        <w:lastRenderedPageBreak/>
        <w:t>are necessary to attract the younger generation to see the public sector as a meaningful, professional workplace that contributes to society.</w:t>
      </w:r>
    </w:p>
    <w:p w14:paraId="6F08750C" w14:textId="7515AD13" w:rsidR="009F0C46" w:rsidRDefault="00000000">
      <w:pPr>
        <w:rPr>
          <w:rFonts w:ascii="Trebuchet MS" w:eastAsia="Trebuchet MS" w:hAnsi="Trebuchet MS" w:cs="Trebuchet MS"/>
          <w:i/>
          <w:color w:val="000000"/>
        </w:rPr>
      </w:pPr>
      <w:r>
        <w:rPr>
          <w:rFonts w:ascii="Trebuchet MS" w:eastAsia="Trebuchet MS" w:hAnsi="Trebuchet MS" w:cs="Trebuchet MS"/>
          <w:b/>
          <w:i/>
        </w:rPr>
        <w:t xml:space="preserve">Keywords: </w:t>
      </w:r>
      <w:r w:rsidR="00B8059D" w:rsidRPr="00B8059D">
        <w:rPr>
          <w:rFonts w:ascii="Trebuchet MS" w:eastAsia="Trebuchet MS" w:hAnsi="Trebuchet MS" w:cs="Trebuchet MS"/>
          <w:i/>
          <w:color w:val="000000"/>
        </w:rPr>
        <w:t xml:space="preserve">Public values, Career interests, Career motivation, </w:t>
      </w:r>
      <w:proofErr w:type="gramStart"/>
      <w:r w:rsidR="00B8059D" w:rsidRPr="00B8059D">
        <w:rPr>
          <w:rFonts w:ascii="Trebuchet MS" w:eastAsia="Trebuchet MS" w:hAnsi="Trebuchet MS" w:cs="Trebuchet MS"/>
          <w:i/>
          <w:color w:val="000000"/>
        </w:rPr>
        <w:t>Young</w:t>
      </w:r>
      <w:proofErr w:type="gramEnd"/>
      <w:r w:rsidR="00B8059D" w:rsidRPr="00B8059D">
        <w:rPr>
          <w:rFonts w:ascii="Trebuchet MS" w:eastAsia="Trebuchet MS" w:hAnsi="Trebuchet MS" w:cs="Trebuchet MS"/>
          <w:i/>
          <w:color w:val="000000"/>
        </w:rPr>
        <w:t xml:space="preserve"> generation, Public sector</w:t>
      </w:r>
    </w:p>
    <w:p w14:paraId="49B2BF8E" w14:textId="77777777" w:rsidR="00B8059D" w:rsidRDefault="00B8059D">
      <w:pPr>
        <w:rPr>
          <w:rFonts w:ascii="Trebuchet MS" w:eastAsia="Trebuchet MS" w:hAnsi="Trebuchet MS" w:cs="Trebuchet MS"/>
          <w:b/>
          <w:i/>
        </w:rPr>
      </w:pPr>
    </w:p>
    <w:p w14:paraId="327F43D2" w14:textId="77777777" w:rsidR="009F0C46" w:rsidRDefault="00000000">
      <w:pPr>
        <w:numPr>
          <w:ilvl w:val="0"/>
          <w:numId w:val="1"/>
        </w:numPr>
        <w:pBdr>
          <w:top w:val="nil"/>
          <w:left w:val="nil"/>
          <w:bottom w:val="nil"/>
          <w:right w:val="nil"/>
          <w:between w:val="nil"/>
        </w:pBdr>
        <w:spacing w:line="360" w:lineRule="auto"/>
        <w:ind w:left="284" w:hanging="284"/>
        <w:rPr>
          <w:rFonts w:ascii="Trebuchet MS" w:eastAsia="Trebuchet MS" w:hAnsi="Trebuchet MS" w:cs="Trebuchet MS"/>
          <w:b/>
          <w:color w:val="000000"/>
        </w:rPr>
      </w:pPr>
      <w:r>
        <w:rPr>
          <w:rFonts w:ascii="Trebuchet MS" w:eastAsia="Trebuchet MS" w:hAnsi="Trebuchet MS" w:cs="Trebuchet MS"/>
          <w:b/>
          <w:color w:val="000000"/>
        </w:rPr>
        <w:t>PENDAHULUAN</w:t>
      </w:r>
    </w:p>
    <w:p w14:paraId="1FEA5BEE" w14:textId="07C295EE" w:rsidR="00B8059D" w:rsidRPr="00B8059D" w:rsidRDefault="001F7452" w:rsidP="001F7452">
      <w:pPr>
        <w:jc w:val="both"/>
        <w:rPr>
          <w:rFonts w:ascii="Trebuchet MS" w:eastAsia="Trebuchet MS" w:hAnsi="Trebuchet MS" w:cs="Trebuchet MS"/>
          <w:color w:val="000000"/>
          <w:lang w:val="sv-SE"/>
        </w:rPr>
      </w:pPr>
      <w:r>
        <w:rPr>
          <w:rFonts w:ascii="Trebuchet MS" w:eastAsia="Trebuchet MS" w:hAnsi="Trebuchet MS" w:cs="Trebuchet MS"/>
          <w:color w:val="000000"/>
          <w:lang w:val="sv-SE"/>
        </w:rPr>
        <w:tab/>
      </w:r>
      <w:r w:rsidR="00B8059D" w:rsidRPr="00B8059D">
        <w:rPr>
          <w:rFonts w:ascii="Trebuchet MS" w:eastAsia="Trebuchet MS" w:hAnsi="Trebuchet MS" w:cs="Trebuchet MS"/>
          <w:color w:val="000000"/>
          <w:lang w:val="sv-SE"/>
        </w:rPr>
        <w:t>Sektor publik memiliki peran yang sangat penting dalam mewujudkan pelayanan yang adil, transparan, dan berorientasi pada kepentingan masyarakat. Kualitas tata kelola pemerintah tidak hanya ditentukan oleh sistem birokrasi yang efektif, tetapi juga oleh nilai-nilai yang dianut oleh individu yang terlibat di dalamnya. Dalam konteks pembangunan nasional, partisipasi generasi muda menjadi hal yang sangat penting karena mereka merupakan calon pemimpin dan penggerak sektor publik di masa depan. Generasi muda diharapkan memiliki semangat untuk melayani, integritas, dan komitmen terhadap kepentingan publik. Namun, pada kenyataannya, banyak pandangan yang menyebutkan bahwa ketertarikan generasi muda untuk berkarier di sektor publik cenderung menurun, terutama karena perubahan orientasi kerja, gaya hidup, serta meningkatnya daya tarik sektor swasta yang dianggap lebih fleksibel, inovatif, dan berorientasi pada pengembangan diri.</w:t>
      </w:r>
    </w:p>
    <w:p w14:paraId="7CD57447" w14:textId="4EFE7BCA" w:rsidR="00B8059D" w:rsidRPr="00B8059D" w:rsidRDefault="001F7452" w:rsidP="001F7452">
      <w:pPr>
        <w:jc w:val="both"/>
        <w:rPr>
          <w:rFonts w:ascii="Trebuchet MS" w:eastAsia="Trebuchet MS" w:hAnsi="Trebuchet MS" w:cs="Trebuchet MS"/>
          <w:color w:val="000000"/>
          <w:lang w:val="sv-SE"/>
        </w:rPr>
      </w:pPr>
      <w:r>
        <w:rPr>
          <w:rFonts w:ascii="Trebuchet MS" w:eastAsia="Trebuchet MS" w:hAnsi="Trebuchet MS" w:cs="Trebuchet MS"/>
          <w:color w:val="000000"/>
          <w:lang w:val="sv-SE"/>
        </w:rPr>
        <w:tab/>
      </w:r>
      <w:r w:rsidR="00B8059D" w:rsidRPr="00B8059D">
        <w:rPr>
          <w:rFonts w:ascii="Trebuchet MS" w:eastAsia="Trebuchet MS" w:hAnsi="Trebuchet MS" w:cs="Trebuchet MS"/>
          <w:color w:val="000000"/>
          <w:lang w:val="sv-SE"/>
        </w:rPr>
        <w:t>Beberapa kajian literatur menunjukkan adanya kecenderungan menurunnya minat sebagian generasi muda untuk bekerja di sektor publik. Penelitian yang dilakukan oleh Amalia et al. (2025) menemukan bahwa fenomena tersebut lebih disebabkan oleh perubahan preferensi terhadap jenis pekerjaan yang dinamis, berbasis teknologi, dan memberikan ruang kreativitas yang lebih luas. Namun, temuan tersebut belum dapat digeneralisasi secara nasional karena masih terbatas pada konteks dan sampel tertentu. Sementara itu, studi lain seperti Ningrum, Arnazaye, dan Wicaksana (2023) justru mengungkapkan bahwa karier di instansi pemerintah masih diminati oleh sebagian masyarakat yang mengutamakan stabilitas dan kontribusi sosial. Dengan demikian, fenomena minat generasi muda terhadap sektor publik masih bersifat kompleks dan bervariasi tergantung pada nilai, motivasi, serta persepsi terhadap makna kerja publik itu sendiri.</w:t>
      </w:r>
    </w:p>
    <w:p w14:paraId="23DAB830" w14:textId="13DFD44B" w:rsidR="00B8059D" w:rsidRPr="00B8059D" w:rsidRDefault="001F7452" w:rsidP="001F7452">
      <w:pPr>
        <w:jc w:val="both"/>
        <w:rPr>
          <w:rFonts w:ascii="Trebuchet MS" w:eastAsia="Trebuchet MS" w:hAnsi="Trebuchet MS" w:cs="Trebuchet MS"/>
          <w:color w:val="000000"/>
          <w:lang w:val="sv-SE"/>
        </w:rPr>
      </w:pPr>
      <w:r>
        <w:rPr>
          <w:rFonts w:ascii="Trebuchet MS" w:eastAsia="Trebuchet MS" w:hAnsi="Trebuchet MS" w:cs="Trebuchet MS"/>
          <w:color w:val="000000"/>
          <w:lang w:val="sv-SE"/>
        </w:rPr>
        <w:tab/>
      </w:r>
      <w:r w:rsidR="00B8059D" w:rsidRPr="00B8059D">
        <w:rPr>
          <w:rFonts w:ascii="Trebuchet MS" w:eastAsia="Trebuchet MS" w:hAnsi="Trebuchet MS" w:cs="Trebuchet MS"/>
          <w:color w:val="000000"/>
          <w:lang w:val="sv-SE"/>
        </w:rPr>
        <w:t>Nilai-nilai publik merupakan inti dari etika pelayanan publik yang menuntun perilaku dan keputusan individu dalam menjalankan tugas pemerintahan. Dalam konteks pembangunan tata kelola yang baik, nilai-nilai publik mencakup prinsip seperti keadilan, transparansi, akuntabilitas, efisiensi, serta orientasi terhadap kepentingan bersama dan pelayanan masyarakat. Tavares et al. (2021) menekankan bahwa penguatan nilai publik dapat mendorong perilaku etis dan tanggung jawab sosial di kalangan generasi muda. Hal ini sejalan dengan temuan dalam penelitian Oktari, Mindarti, dan Sujarwoto (2023) yang menyoroti pentingnya peran generasi Z dalam menjaga integritas dan etika pelayanan publik di tengah perubahan sosial yang cepat. Selain itu, studi Solihin dan Aneta (2021) menunjukkan bahwa penerapan nilai-nilai publik berkontribusi terhadap peningkatan motivasi pelayanan (public service motivation) serta mendorong orientasi karier ke sektor publik. Dengan demikian, internalisasi nilai-nilai publik berpotensi membentuk minat dan orientasi karier generasi muda ke arah sektor publik terutama, bagi mereka yang memiliki idealism terhadap perubahan sosial dan keadilan.</w:t>
      </w:r>
    </w:p>
    <w:p w14:paraId="18D8CE99" w14:textId="0CE007E8" w:rsidR="00B8059D" w:rsidRPr="00B8059D" w:rsidRDefault="001F7452" w:rsidP="001F7452">
      <w:pPr>
        <w:jc w:val="both"/>
        <w:rPr>
          <w:rFonts w:ascii="Trebuchet MS" w:eastAsia="Trebuchet MS" w:hAnsi="Trebuchet MS" w:cs="Trebuchet MS"/>
          <w:color w:val="000000"/>
          <w:lang w:val="sv-SE"/>
        </w:rPr>
      </w:pPr>
      <w:r>
        <w:rPr>
          <w:rFonts w:ascii="Trebuchet MS" w:eastAsia="Trebuchet MS" w:hAnsi="Trebuchet MS" w:cs="Trebuchet MS"/>
          <w:color w:val="000000"/>
          <w:lang w:val="sv-SE"/>
        </w:rPr>
        <w:tab/>
      </w:r>
      <w:r w:rsidR="00B8059D" w:rsidRPr="00B8059D">
        <w:rPr>
          <w:rFonts w:ascii="Trebuchet MS" w:eastAsia="Trebuchet MS" w:hAnsi="Trebuchet MS" w:cs="Trebuchet MS"/>
          <w:color w:val="000000"/>
          <w:lang w:val="sv-SE"/>
        </w:rPr>
        <w:t>Dalam konteks pembangunan karakter, nilai-nilai publik berfungsi sebagai fondasi moral yang dapat menumbuhkan semangat pelayanan dan integritas generasi muda. Pendidikan, organisasi sosial, serta media massa memiliki peran penting dalam membentuk kesadaran nilai publik ini. Ketika generasi muda melihat bahwa pekerjaan di sektor publik bukan hanya sekadar rutinitas birokratis, tetapi sebagai bentuk pengabdian dan kontribusi terhadap masyarakat, maka persepsi mereka terhadap karier di sektor publik dapat berubah secara positif. Oleh karena itu, penguatan nilai-nilai publik menjadi kunci strategis dalam meningkatkan minat generasi muda untuk terlibat di sektor publik.</w:t>
      </w:r>
    </w:p>
    <w:p w14:paraId="58210C13" w14:textId="099C0DC6" w:rsidR="009F0C46" w:rsidRPr="00B8059D" w:rsidRDefault="001F7452" w:rsidP="001F7452">
      <w:pPr>
        <w:jc w:val="both"/>
        <w:rPr>
          <w:rFonts w:ascii="Trebuchet MS" w:eastAsia="Trebuchet MS" w:hAnsi="Trebuchet MS" w:cs="Trebuchet MS"/>
          <w:i/>
          <w:color w:val="000000"/>
          <w:lang w:val="id-ID"/>
        </w:rPr>
      </w:pPr>
      <w:r>
        <w:rPr>
          <w:rFonts w:ascii="Trebuchet MS" w:eastAsia="Trebuchet MS" w:hAnsi="Trebuchet MS" w:cs="Trebuchet MS"/>
          <w:color w:val="000000"/>
          <w:lang w:val="sv-SE"/>
        </w:rPr>
        <w:tab/>
      </w:r>
      <w:r w:rsidR="00B8059D" w:rsidRPr="00B8059D">
        <w:rPr>
          <w:rFonts w:ascii="Trebuchet MS" w:eastAsia="Trebuchet MS" w:hAnsi="Trebuchet MS" w:cs="Trebuchet MS"/>
          <w:color w:val="000000"/>
          <w:lang w:val="sv-SE"/>
        </w:rPr>
        <w:t>Penelitian ini menggunakan metode studi pustaka (</w:t>
      </w:r>
      <w:r w:rsidR="00B8059D" w:rsidRPr="001F7452">
        <w:rPr>
          <w:rFonts w:ascii="Trebuchet MS" w:eastAsia="Trebuchet MS" w:hAnsi="Trebuchet MS" w:cs="Trebuchet MS"/>
          <w:i/>
          <w:iCs/>
          <w:color w:val="000000"/>
          <w:lang w:val="sv-SE"/>
        </w:rPr>
        <w:t>library research</w:t>
      </w:r>
      <w:r w:rsidR="00B8059D" w:rsidRPr="00B8059D">
        <w:rPr>
          <w:rFonts w:ascii="Trebuchet MS" w:eastAsia="Trebuchet MS" w:hAnsi="Trebuchet MS" w:cs="Trebuchet MS"/>
          <w:color w:val="000000"/>
          <w:lang w:val="sv-SE"/>
        </w:rPr>
        <w:t xml:space="preserve">) dengan tujuan untuk menganalisis dan mendeskripsikan hubungan antara nilai-nilai publik dan minat berkarier di sektor publik pada generasi muda. Melalui pendekatan ini, berbagai hasil penelitian, teori, dan konsep tentang nilai publik dan orientasi karier dikaji untuk memahami sejauh mana nilai-nilai tersebut dapat memengaruhi persepsi generasi muda terhadap karier di sektor publik. Kajian ini diharapkan dapat memberikan kontribusi dalam penguatan perspektif teoritis mengenai pentingnya nilai-nilai </w:t>
      </w:r>
      <w:r w:rsidR="00B8059D" w:rsidRPr="00B8059D">
        <w:rPr>
          <w:rFonts w:ascii="Trebuchet MS" w:eastAsia="Trebuchet MS" w:hAnsi="Trebuchet MS" w:cs="Trebuchet MS"/>
          <w:color w:val="000000"/>
          <w:lang w:val="sv-SE"/>
        </w:rPr>
        <w:lastRenderedPageBreak/>
        <w:t>publik dalam membentuk generasi muda yang berkomitmen terhadap pelayanan publik dan kemajuan bangsa.</w:t>
      </w:r>
    </w:p>
    <w:p w14:paraId="06D908FA" w14:textId="77777777" w:rsidR="009F0C46" w:rsidRPr="00B8059D" w:rsidRDefault="009F0C46">
      <w:pPr>
        <w:ind w:firstLine="720"/>
        <w:jc w:val="both"/>
        <w:rPr>
          <w:rFonts w:ascii="Trebuchet MS" w:eastAsia="Trebuchet MS" w:hAnsi="Trebuchet MS" w:cs="Trebuchet MS"/>
          <w:highlight w:val="yellow"/>
          <w:lang w:val="id-ID"/>
        </w:rPr>
      </w:pPr>
    </w:p>
    <w:p w14:paraId="4F3A0AA7" w14:textId="77777777" w:rsidR="009F0C46" w:rsidRDefault="00000000">
      <w:pPr>
        <w:numPr>
          <w:ilvl w:val="0"/>
          <w:numId w:val="1"/>
        </w:numPr>
        <w:pBdr>
          <w:top w:val="nil"/>
          <w:left w:val="nil"/>
          <w:bottom w:val="nil"/>
          <w:right w:val="nil"/>
          <w:between w:val="nil"/>
        </w:pBdr>
        <w:spacing w:after="120"/>
        <w:ind w:left="284" w:hanging="284"/>
        <w:rPr>
          <w:rFonts w:ascii="Trebuchet MS" w:eastAsia="Trebuchet MS" w:hAnsi="Trebuchet MS" w:cs="Trebuchet MS"/>
          <w:color w:val="000000"/>
        </w:rPr>
      </w:pPr>
      <w:r>
        <w:rPr>
          <w:rFonts w:ascii="Trebuchet MS" w:eastAsia="Trebuchet MS" w:hAnsi="Trebuchet MS" w:cs="Trebuchet MS"/>
          <w:b/>
          <w:color w:val="000000"/>
        </w:rPr>
        <w:t>METODE</w:t>
      </w:r>
    </w:p>
    <w:p w14:paraId="5D068184" w14:textId="77777777" w:rsidR="00B8059D" w:rsidRPr="00B8059D" w:rsidRDefault="00B8059D" w:rsidP="00B8059D">
      <w:pPr>
        <w:ind w:firstLine="720"/>
        <w:jc w:val="both"/>
        <w:rPr>
          <w:rFonts w:ascii="Trebuchet MS" w:eastAsia="Trebuchet MS" w:hAnsi="Trebuchet MS" w:cs="Trebuchet MS"/>
          <w:color w:val="000000"/>
        </w:rPr>
      </w:pPr>
      <w:proofErr w:type="spellStart"/>
      <w:r w:rsidRPr="00B8059D">
        <w:rPr>
          <w:rFonts w:ascii="Trebuchet MS" w:eastAsia="Trebuchet MS" w:hAnsi="Trebuchet MS" w:cs="Trebuchet MS"/>
          <w:color w:val="000000"/>
        </w:rPr>
        <w:t>Penelitian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ini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menggunakan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metode</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studi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pustaka</w:t>
      </w:r>
      <w:proofErr w:type="spellEnd"/>
      <w:r w:rsidRPr="00B8059D">
        <w:rPr>
          <w:rFonts w:ascii="Trebuchet MS" w:eastAsia="Trebuchet MS" w:hAnsi="Trebuchet MS" w:cs="Trebuchet MS"/>
          <w:color w:val="000000"/>
        </w:rPr>
        <w:t xml:space="preserve"> </w:t>
      </w:r>
      <w:r w:rsidRPr="001F7452">
        <w:rPr>
          <w:rFonts w:ascii="Trebuchet MS" w:eastAsia="Trebuchet MS" w:hAnsi="Trebuchet MS" w:cs="Trebuchet MS"/>
          <w:i/>
          <w:iCs/>
          <w:color w:val="000000"/>
        </w:rPr>
        <w:t>(library research</w:t>
      </w:r>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yaitu</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pengumpulan</w:t>
      </w:r>
      <w:proofErr w:type="spellEnd"/>
      <w:r w:rsidRPr="00B8059D">
        <w:rPr>
          <w:rFonts w:ascii="Trebuchet MS" w:eastAsia="Trebuchet MS" w:hAnsi="Trebuchet MS" w:cs="Trebuchet MS"/>
          <w:color w:val="000000"/>
        </w:rPr>
        <w:t xml:space="preserve"> data dan </w:t>
      </w:r>
      <w:proofErr w:type="spellStart"/>
      <w:r w:rsidRPr="00B8059D">
        <w:rPr>
          <w:rFonts w:ascii="Trebuchet MS" w:eastAsia="Trebuchet MS" w:hAnsi="Trebuchet MS" w:cs="Trebuchet MS"/>
          <w:color w:val="000000"/>
        </w:rPr>
        <w:t>sumber</w:t>
      </w:r>
      <w:proofErr w:type="spellEnd"/>
      <w:r w:rsidRPr="00B8059D">
        <w:rPr>
          <w:rFonts w:ascii="Trebuchet MS" w:eastAsia="Trebuchet MS" w:hAnsi="Trebuchet MS" w:cs="Trebuchet MS"/>
          <w:color w:val="000000"/>
        </w:rPr>
        <w:t xml:space="preserve"> yang </w:t>
      </w:r>
      <w:proofErr w:type="spellStart"/>
      <w:r w:rsidRPr="00B8059D">
        <w:rPr>
          <w:rFonts w:ascii="Trebuchet MS" w:eastAsia="Trebuchet MS" w:hAnsi="Trebuchet MS" w:cs="Trebuchet MS"/>
          <w:color w:val="000000"/>
        </w:rPr>
        <w:t>relevan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dengan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topik</w:t>
      </w:r>
      <w:proofErr w:type="spellEnd"/>
      <w:r w:rsidRPr="00B8059D">
        <w:rPr>
          <w:rFonts w:ascii="Trebuchet MS" w:eastAsia="Trebuchet MS" w:hAnsi="Trebuchet MS" w:cs="Trebuchet MS"/>
          <w:color w:val="000000"/>
        </w:rPr>
        <w:t xml:space="preserve"> yang </w:t>
      </w:r>
      <w:proofErr w:type="spellStart"/>
      <w:r w:rsidRPr="00B8059D">
        <w:rPr>
          <w:rFonts w:ascii="Trebuchet MS" w:eastAsia="Trebuchet MS" w:hAnsi="Trebuchet MS" w:cs="Trebuchet MS"/>
          <w:color w:val="000000"/>
        </w:rPr>
        <w:t>dibahas</w:t>
      </w:r>
      <w:proofErr w:type="spellEnd"/>
      <w:r w:rsidRPr="00B8059D">
        <w:rPr>
          <w:rFonts w:ascii="Trebuchet MS" w:eastAsia="Trebuchet MS" w:hAnsi="Trebuchet MS" w:cs="Trebuchet MS"/>
          <w:color w:val="000000"/>
        </w:rPr>
        <w:t xml:space="preserve"> dalam </w:t>
      </w:r>
      <w:proofErr w:type="spellStart"/>
      <w:r w:rsidRPr="00B8059D">
        <w:rPr>
          <w:rFonts w:ascii="Trebuchet MS" w:eastAsia="Trebuchet MS" w:hAnsi="Trebuchet MS" w:cs="Trebuchet MS"/>
          <w:color w:val="000000"/>
        </w:rPr>
        <w:t>penelitian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ini</w:t>
      </w:r>
      <w:proofErr w:type="spellEnd"/>
      <w:r w:rsidRPr="00B8059D">
        <w:rPr>
          <w:rFonts w:ascii="Trebuchet MS" w:eastAsia="Trebuchet MS" w:hAnsi="Trebuchet MS" w:cs="Trebuchet MS"/>
          <w:color w:val="000000"/>
        </w:rPr>
        <w:t xml:space="preserve"> (Habsy, 2017). Metode </w:t>
      </w:r>
      <w:proofErr w:type="spellStart"/>
      <w:r w:rsidRPr="00B8059D">
        <w:rPr>
          <w:rFonts w:ascii="Trebuchet MS" w:eastAsia="Trebuchet MS" w:hAnsi="Trebuchet MS" w:cs="Trebuchet MS"/>
          <w:color w:val="000000"/>
        </w:rPr>
        <w:t>ini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dapat</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dilakukan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secara</w:t>
      </w:r>
      <w:proofErr w:type="spellEnd"/>
      <w:r w:rsidRPr="00B8059D">
        <w:rPr>
          <w:rFonts w:ascii="Trebuchet MS" w:eastAsia="Trebuchet MS" w:hAnsi="Trebuchet MS" w:cs="Trebuchet MS"/>
          <w:color w:val="000000"/>
        </w:rPr>
        <w:t xml:space="preserve"> individual dan </w:t>
      </w:r>
      <w:proofErr w:type="spellStart"/>
      <w:r w:rsidRPr="00B8059D">
        <w:rPr>
          <w:rFonts w:ascii="Trebuchet MS" w:eastAsia="Trebuchet MS" w:hAnsi="Trebuchet MS" w:cs="Trebuchet MS"/>
          <w:color w:val="000000"/>
        </w:rPr>
        <w:t>tidak</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memerlukan</w:t>
      </w:r>
      <w:proofErr w:type="spellEnd"/>
      <w:r w:rsidRPr="00B8059D">
        <w:rPr>
          <w:rFonts w:ascii="Trebuchet MS" w:eastAsia="Trebuchet MS" w:hAnsi="Trebuchet MS" w:cs="Trebuchet MS"/>
          <w:color w:val="000000"/>
        </w:rPr>
        <w:t xml:space="preserve"> proses </w:t>
      </w:r>
      <w:proofErr w:type="spellStart"/>
      <w:r w:rsidRPr="00B8059D">
        <w:rPr>
          <w:rFonts w:ascii="Trebuchet MS" w:eastAsia="Trebuchet MS" w:hAnsi="Trebuchet MS" w:cs="Trebuchet MS"/>
          <w:color w:val="000000"/>
        </w:rPr>
        <w:t>wawancara</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atau</w:t>
      </w:r>
      <w:proofErr w:type="spellEnd"/>
      <w:r w:rsidRPr="00B8059D">
        <w:rPr>
          <w:rFonts w:ascii="Trebuchet MS" w:eastAsia="Trebuchet MS" w:hAnsi="Trebuchet MS" w:cs="Trebuchet MS"/>
          <w:color w:val="000000"/>
        </w:rPr>
        <w:t xml:space="preserve"> yang </w:t>
      </w:r>
      <w:proofErr w:type="spellStart"/>
      <w:r w:rsidRPr="00B8059D">
        <w:rPr>
          <w:rFonts w:ascii="Trebuchet MS" w:eastAsia="Trebuchet MS" w:hAnsi="Trebuchet MS" w:cs="Trebuchet MS"/>
          <w:color w:val="000000"/>
        </w:rPr>
        <w:t>bersangkutan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dengan</w:t>
      </w:r>
      <w:proofErr w:type="spellEnd"/>
      <w:r w:rsidRPr="00B8059D">
        <w:rPr>
          <w:rFonts w:ascii="Trebuchet MS" w:eastAsia="Trebuchet MS" w:hAnsi="Trebuchet MS" w:cs="Trebuchet MS"/>
          <w:color w:val="000000"/>
        </w:rPr>
        <w:t xml:space="preserve"> orang lain, sehingga </w:t>
      </w:r>
      <w:proofErr w:type="spellStart"/>
      <w:r w:rsidRPr="00B8059D">
        <w:rPr>
          <w:rFonts w:ascii="Trebuchet MS" w:eastAsia="Trebuchet MS" w:hAnsi="Trebuchet MS" w:cs="Trebuchet MS"/>
          <w:color w:val="000000"/>
        </w:rPr>
        <w:t>metode</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ini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lebih</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mudah</w:t>
      </w:r>
      <w:proofErr w:type="spellEnd"/>
      <w:r w:rsidRPr="00B8059D">
        <w:rPr>
          <w:rFonts w:ascii="Trebuchet MS" w:eastAsia="Trebuchet MS" w:hAnsi="Trebuchet MS" w:cs="Trebuchet MS"/>
          <w:color w:val="000000"/>
        </w:rPr>
        <w:t xml:space="preserve"> dan </w:t>
      </w:r>
      <w:proofErr w:type="spellStart"/>
      <w:r w:rsidRPr="00B8059D">
        <w:rPr>
          <w:rFonts w:ascii="Trebuchet MS" w:eastAsia="Trebuchet MS" w:hAnsi="Trebuchet MS" w:cs="Trebuchet MS"/>
          <w:color w:val="000000"/>
        </w:rPr>
        <w:t>waktu</w:t>
      </w:r>
      <w:proofErr w:type="spellEnd"/>
      <w:r w:rsidRPr="00B8059D">
        <w:rPr>
          <w:rFonts w:ascii="Trebuchet MS" w:eastAsia="Trebuchet MS" w:hAnsi="Trebuchet MS" w:cs="Trebuchet MS"/>
          <w:color w:val="000000"/>
        </w:rPr>
        <w:t xml:space="preserve"> yang </w:t>
      </w:r>
      <w:proofErr w:type="spellStart"/>
      <w:r w:rsidRPr="00B8059D">
        <w:rPr>
          <w:rFonts w:ascii="Trebuchet MS" w:eastAsia="Trebuchet MS" w:hAnsi="Trebuchet MS" w:cs="Trebuchet MS"/>
          <w:color w:val="000000"/>
        </w:rPr>
        <w:t>diperlukan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lebih</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singkat</w:t>
      </w:r>
      <w:proofErr w:type="spellEnd"/>
      <w:r w:rsidRPr="00B8059D">
        <w:rPr>
          <w:rFonts w:ascii="Trebuchet MS" w:eastAsia="Trebuchet MS" w:hAnsi="Trebuchet MS" w:cs="Trebuchet MS"/>
          <w:color w:val="000000"/>
        </w:rPr>
        <w:t xml:space="preserve"> dan juga </w:t>
      </w:r>
      <w:proofErr w:type="spellStart"/>
      <w:r w:rsidRPr="00B8059D">
        <w:rPr>
          <w:rFonts w:ascii="Trebuchet MS" w:eastAsia="Trebuchet MS" w:hAnsi="Trebuchet MS" w:cs="Trebuchet MS"/>
          <w:color w:val="000000"/>
        </w:rPr>
        <w:t>tidak</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mengurangi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keakuratan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informasi</w:t>
      </w:r>
      <w:proofErr w:type="spellEnd"/>
      <w:r w:rsidRPr="00B8059D">
        <w:rPr>
          <w:rFonts w:ascii="Trebuchet MS" w:eastAsia="Trebuchet MS" w:hAnsi="Trebuchet MS" w:cs="Trebuchet MS"/>
          <w:color w:val="000000"/>
        </w:rPr>
        <w:t xml:space="preserve"> yang </w:t>
      </w:r>
      <w:proofErr w:type="spellStart"/>
      <w:r w:rsidRPr="00B8059D">
        <w:rPr>
          <w:rFonts w:ascii="Trebuchet MS" w:eastAsia="Trebuchet MS" w:hAnsi="Trebuchet MS" w:cs="Trebuchet MS"/>
          <w:color w:val="000000"/>
        </w:rPr>
        <w:t>didapat</w:t>
      </w:r>
      <w:proofErr w:type="spellEnd"/>
      <w:r w:rsidRPr="00B8059D">
        <w:rPr>
          <w:rFonts w:ascii="Trebuchet MS" w:eastAsia="Trebuchet MS" w:hAnsi="Trebuchet MS" w:cs="Trebuchet MS"/>
          <w:color w:val="000000"/>
        </w:rPr>
        <w:t xml:space="preserve"> Wulandari, Dewi, dan </w:t>
      </w:r>
      <w:proofErr w:type="spellStart"/>
      <w:r w:rsidRPr="00B8059D">
        <w:rPr>
          <w:rFonts w:ascii="Trebuchet MS" w:eastAsia="Trebuchet MS" w:hAnsi="Trebuchet MS" w:cs="Trebuchet MS"/>
          <w:color w:val="000000"/>
        </w:rPr>
        <w:t>Furnamasari</w:t>
      </w:r>
      <w:proofErr w:type="spellEnd"/>
      <w:r w:rsidRPr="00B8059D">
        <w:rPr>
          <w:rFonts w:ascii="Trebuchet MS" w:eastAsia="Trebuchet MS" w:hAnsi="Trebuchet MS" w:cs="Trebuchet MS"/>
          <w:color w:val="000000"/>
        </w:rPr>
        <w:t xml:space="preserve"> (2022). </w:t>
      </w:r>
    </w:p>
    <w:p w14:paraId="15DB69EC" w14:textId="5DA39F62" w:rsidR="009F0C46" w:rsidRPr="00B8059D" w:rsidRDefault="00B8059D" w:rsidP="00B8059D">
      <w:pPr>
        <w:ind w:firstLine="720"/>
        <w:jc w:val="both"/>
        <w:rPr>
          <w:rFonts w:ascii="Trebuchet MS" w:eastAsia="Trebuchet MS" w:hAnsi="Trebuchet MS" w:cs="Trebuchet MS"/>
          <w:color w:val="000000"/>
          <w:lang w:val="sv-SE"/>
        </w:rPr>
      </w:pPr>
      <w:r w:rsidRPr="00B8059D">
        <w:rPr>
          <w:rFonts w:ascii="Trebuchet MS" w:eastAsia="Trebuchet MS" w:hAnsi="Trebuchet MS" w:cs="Trebuchet MS"/>
          <w:color w:val="000000"/>
        </w:rPr>
        <w:t xml:space="preserve">Proses </w:t>
      </w:r>
      <w:proofErr w:type="spellStart"/>
      <w:r w:rsidRPr="00B8059D">
        <w:rPr>
          <w:rFonts w:ascii="Trebuchet MS" w:eastAsia="Trebuchet MS" w:hAnsi="Trebuchet MS" w:cs="Trebuchet MS"/>
          <w:color w:val="000000"/>
        </w:rPr>
        <w:t>penyusunan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studi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pustaka</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ini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mencakup</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beberapa</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tahapan</w:t>
      </w:r>
      <w:proofErr w:type="spellEnd"/>
      <w:r w:rsidRPr="00B8059D">
        <w:rPr>
          <w:rFonts w:ascii="Trebuchet MS" w:eastAsia="Trebuchet MS" w:hAnsi="Trebuchet MS" w:cs="Trebuchet MS"/>
          <w:color w:val="000000"/>
        </w:rPr>
        <w:t xml:space="preserve">, Hadi dan Afandi (2021) </w:t>
      </w:r>
      <w:proofErr w:type="spellStart"/>
      <w:r w:rsidRPr="00B8059D">
        <w:rPr>
          <w:rFonts w:ascii="Trebuchet MS" w:eastAsia="Trebuchet MS" w:hAnsi="Trebuchet MS" w:cs="Trebuchet MS"/>
          <w:color w:val="000000"/>
        </w:rPr>
        <w:t>mengemukakan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bahwa</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penyusunan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studi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pustaka</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terdiri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dari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enam</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tahapan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yaitu</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menentukan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topik</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mencari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literatur</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terkait</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mengembangkan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argumen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melakukan</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survei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literatur</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mengkritisi</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sumber</w:t>
      </w:r>
      <w:proofErr w:type="spellEnd"/>
      <w:r w:rsidRPr="00B8059D">
        <w:rPr>
          <w:rFonts w:ascii="Trebuchet MS" w:eastAsia="Trebuchet MS" w:hAnsi="Trebuchet MS" w:cs="Trebuchet MS"/>
          <w:color w:val="000000"/>
        </w:rPr>
        <w:t xml:space="preserve">, dan yang </w:t>
      </w:r>
      <w:proofErr w:type="spellStart"/>
      <w:r w:rsidRPr="00B8059D">
        <w:rPr>
          <w:rFonts w:ascii="Trebuchet MS" w:eastAsia="Trebuchet MS" w:hAnsi="Trebuchet MS" w:cs="Trebuchet MS"/>
          <w:color w:val="000000"/>
        </w:rPr>
        <w:t>terakhir</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adalah</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menulis</w:t>
      </w:r>
      <w:proofErr w:type="spellEnd"/>
      <w:r w:rsidRPr="00B8059D">
        <w:rPr>
          <w:rFonts w:ascii="Trebuchet MS" w:eastAsia="Trebuchet MS" w:hAnsi="Trebuchet MS" w:cs="Trebuchet MS"/>
          <w:color w:val="000000"/>
        </w:rPr>
        <w:t xml:space="preserve"> </w:t>
      </w:r>
      <w:proofErr w:type="spellStart"/>
      <w:r w:rsidRPr="00B8059D">
        <w:rPr>
          <w:rFonts w:ascii="Trebuchet MS" w:eastAsia="Trebuchet MS" w:hAnsi="Trebuchet MS" w:cs="Trebuchet MS"/>
          <w:color w:val="000000"/>
        </w:rPr>
        <w:t>tinjauan</w:t>
      </w:r>
      <w:proofErr w:type="spellEnd"/>
      <w:r w:rsidRPr="00B8059D">
        <w:rPr>
          <w:rFonts w:ascii="Trebuchet MS" w:eastAsia="Trebuchet MS" w:hAnsi="Trebuchet MS" w:cs="Trebuchet MS"/>
          <w:color w:val="000000"/>
        </w:rPr>
        <w:t xml:space="preserve">. </w:t>
      </w:r>
      <w:r w:rsidRPr="00B8059D">
        <w:rPr>
          <w:rFonts w:ascii="Trebuchet MS" w:eastAsia="Trebuchet MS" w:hAnsi="Trebuchet MS" w:cs="Trebuchet MS"/>
          <w:color w:val="000000"/>
          <w:lang w:val="sv-SE"/>
        </w:rPr>
        <w:t xml:space="preserve">Teknik pengumpulan data dalam penelitian ini dilakukan dengan pencarian menggunakan kata kunci seperti "nilai-nilai publik", "minat berkarier", "motivasi karier", "generasi muda", dan "sektor publik". Sumber informasi yang digunakan dalam pencarian ini adalah artikel dan jurnal yang tersedia secara </w:t>
      </w:r>
      <w:r w:rsidRPr="001F7452">
        <w:rPr>
          <w:rFonts w:ascii="Trebuchet MS" w:eastAsia="Trebuchet MS" w:hAnsi="Trebuchet MS" w:cs="Trebuchet MS"/>
          <w:i/>
          <w:iCs/>
          <w:color w:val="000000"/>
          <w:lang w:val="sv-SE"/>
        </w:rPr>
        <w:t>online</w:t>
      </w:r>
      <w:r w:rsidRPr="00B8059D">
        <w:rPr>
          <w:rFonts w:ascii="Trebuchet MS" w:eastAsia="Trebuchet MS" w:hAnsi="Trebuchet MS" w:cs="Trebuchet MS"/>
          <w:color w:val="000000"/>
          <w:lang w:val="sv-SE"/>
        </w:rPr>
        <w:t xml:space="preserve">, terutama </w:t>
      </w:r>
      <w:r w:rsidRPr="001F7452">
        <w:rPr>
          <w:rFonts w:ascii="Trebuchet MS" w:eastAsia="Trebuchet MS" w:hAnsi="Trebuchet MS" w:cs="Trebuchet MS"/>
          <w:i/>
          <w:iCs/>
          <w:color w:val="000000"/>
          <w:lang w:val="sv-SE"/>
        </w:rPr>
        <w:t>platform</w:t>
      </w:r>
      <w:r w:rsidRPr="00B8059D">
        <w:rPr>
          <w:rFonts w:ascii="Trebuchet MS" w:eastAsia="Trebuchet MS" w:hAnsi="Trebuchet MS" w:cs="Trebuchet MS"/>
          <w:color w:val="000000"/>
          <w:lang w:val="sv-SE"/>
        </w:rPr>
        <w:t xml:space="preserve"> seperti </w:t>
      </w:r>
      <w:r w:rsidRPr="001F7452">
        <w:rPr>
          <w:rFonts w:ascii="Trebuchet MS" w:eastAsia="Trebuchet MS" w:hAnsi="Trebuchet MS" w:cs="Trebuchet MS"/>
          <w:i/>
          <w:iCs/>
          <w:color w:val="000000"/>
          <w:lang w:val="sv-SE"/>
        </w:rPr>
        <w:t>Google Scholar</w:t>
      </w:r>
      <w:r w:rsidRPr="00B8059D">
        <w:rPr>
          <w:rFonts w:ascii="Trebuchet MS" w:eastAsia="Trebuchet MS" w:hAnsi="Trebuchet MS" w:cs="Trebuchet MS"/>
          <w:color w:val="000000"/>
          <w:lang w:val="sv-SE"/>
        </w:rPr>
        <w:t xml:space="preserve">, Neliti dan </w:t>
      </w:r>
      <w:r w:rsidRPr="001F7452">
        <w:rPr>
          <w:rFonts w:ascii="Trebuchet MS" w:eastAsia="Trebuchet MS" w:hAnsi="Trebuchet MS" w:cs="Trebuchet MS"/>
          <w:i/>
          <w:iCs/>
          <w:color w:val="000000"/>
          <w:lang w:val="sv-SE"/>
        </w:rPr>
        <w:t>ResearchGate</w:t>
      </w:r>
      <w:r w:rsidRPr="00B8059D">
        <w:rPr>
          <w:rFonts w:ascii="Trebuchet MS" w:eastAsia="Trebuchet MS" w:hAnsi="Trebuchet MS" w:cs="Trebuchet MS"/>
          <w:color w:val="000000"/>
          <w:lang w:val="sv-SE"/>
        </w:rPr>
        <w:t>. Setelah literatur yang relevan terkumpul, data yang diperoleh dianalisis untuk mengidentifikasi hubungan nilai-nilai publik dan minat berkarier di sektor publik pada generasi muda.</w:t>
      </w:r>
    </w:p>
    <w:p w14:paraId="01E9E7B4" w14:textId="77777777" w:rsidR="00B8059D" w:rsidRPr="00B8059D" w:rsidRDefault="00B8059D" w:rsidP="00B8059D">
      <w:pPr>
        <w:ind w:firstLine="720"/>
        <w:jc w:val="both"/>
        <w:rPr>
          <w:rFonts w:ascii="Trebuchet MS" w:eastAsia="Trebuchet MS" w:hAnsi="Trebuchet MS" w:cs="Trebuchet MS"/>
          <w:color w:val="000000"/>
          <w:highlight w:val="yellow"/>
          <w:lang w:val="sv-SE"/>
        </w:rPr>
      </w:pPr>
    </w:p>
    <w:p w14:paraId="1D7B3E61" w14:textId="77777777" w:rsidR="009F0C46" w:rsidRDefault="00000000">
      <w:pPr>
        <w:numPr>
          <w:ilvl w:val="0"/>
          <w:numId w:val="1"/>
        </w:numPr>
        <w:pBdr>
          <w:top w:val="nil"/>
          <w:left w:val="nil"/>
          <w:bottom w:val="nil"/>
          <w:right w:val="nil"/>
          <w:between w:val="nil"/>
        </w:pBdr>
        <w:spacing w:after="120"/>
        <w:ind w:left="284" w:hanging="284"/>
        <w:rPr>
          <w:rFonts w:ascii="Trebuchet MS" w:eastAsia="Trebuchet MS" w:hAnsi="Trebuchet MS" w:cs="Trebuchet MS"/>
          <w:b/>
          <w:color w:val="000000"/>
        </w:rPr>
      </w:pPr>
      <w:r>
        <w:rPr>
          <w:rFonts w:ascii="Trebuchet MS" w:eastAsia="Trebuchet MS" w:hAnsi="Trebuchet MS" w:cs="Trebuchet MS"/>
          <w:b/>
          <w:color w:val="000000"/>
        </w:rPr>
        <w:t>HASIL DAN PEMBAHASAN</w:t>
      </w:r>
    </w:p>
    <w:p w14:paraId="11D28F9B" w14:textId="202B57F2" w:rsidR="00B8059D" w:rsidRDefault="00000000" w:rsidP="00B8059D">
      <w:pPr>
        <w:rPr>
          <w:rFonts w:ascii="Trebuchet MS" w:eastAsia="Trebuchet MS" w:hAnsi="Trebuchet MS" w:cs="Trebuchet MS"/>
          <w:b/>
          <w:color w:val="000000"/>
        </w:rPr>
      </w:pPr>
      <w:r>
        <w:rPr>
          <w:rFonts w:ascii="Trebuchet MS" w:eastAsia="Trebuchet MS" w:hAnsi="Trebuchet MS" w:cs="Trebuchet MS"/>
          <w:b/>
          <w:color w:val="000000"/>
        </w:rPr>
        <w:t>HASIL</w:t>
      </w:r>
    </w:p>
    <w:p w14:paraId="22476F1F" w14:textId="77777777" w:rsidR="00B8059D" w:rsidRPr="00B8059D" w:rsidRDefault="00B8059D" w:rsidP="00B8059D">
      <w:pPr>
        <w:keepNext/>
        <w:spacing w:before="20" w:line="360" w:lineRule="auto"/>
        <w:ind w:left="113"/>
        <w:jc w:val="both"/>
        <w:rPr>
          <w:rFonts w:ascii="Trebuchet MS" w:eastAsia="Calibri" w:hAnsi="Trebuchet MS"/>
          <w:kern w:val="2"/>
          <w:lang w:val="id-ID" w:eastAsia="en-US"/>
          <w14:ligatures w14:val="standardContextual"/>
        </w:rPr>
      </w:pPr>
      <w:bookmarkStart w:id="0" w:name="_Hlk213590413"/>
      <w:r w:rsidRPr="00B8059D">
        <w:rPr>
          <w:rFonts w:ascii="Trebuchet MS" w:eastAsia="Calibri" w:hAnsi="Trebuchet MS"/>
          <w:kern w:val="2"/>
          <w:lang w:val="id-ID" w:eastAsia="en-US"/>
          <w14:ligatures w14:val="standardContextual"/>
        </w:rPr>
        <w:t xml:space="preserve">Adapun hasil </w:t>
      </w:r>
      <w:r w:rsidRPr="00B8059D">
        <w:rPr>
          <w:rFonts w:ascii="Trebuchet MS" w:eastAsia="Calibri" w:hAnsi="Trebuchet MS"/>
          <w:i/>
          <w:iCs/>
          <w:kern w:val="2"/>
          <w:lang w:val="id-ID" w:eastAsia="en-US"/>
          <w14:ligatures w14:val="standardContextual"/>
        </w:rPr>
        <w:t>literature review</w:t>
      </w:r>
      <w:r w:rsidRPr="00B8059D">
        <w:rPr>
          <w:rFonts w:ascii="Trebuchet MS" w:eastAsia="Calibri" w:hAnsi="Trebuchet MS"/>
          <w:kern w:val="2"/>
          <w:lang w:val="id-ID" w:eastAsia="en-US"/>
          <w14:ligatures w14:val="standardContextual"/>
        </w:rPr>
        <w:t xml:space="preserve"> yang disajikan dalam bentuk tabel adalah sebagai berikut.</w:t>
      </w:r>
    </w:p>
    <w:tbl>
      <w:tblPr>
        <w:tblStyle w:val="TableGrid8"/>
        <w:tblW w:w="0" w:type="auto"/>
        <w:tblInd w:w="113" w:type="dxa"/>
        <w:tblLook w:val="04A0" w:firstRow="1" w:lastRow="0" w:firstColumn="1" w:lastColumn="0" w:noHBand="0" w:noVBand="1"/>
      </w:tblPr>
      <w:tblGrid>
        <w:gridCol w:w="569"/>
        <w:gridCol w:w="1384"/>
        <w:gridCol w:w="1743"/>
        <w:gridCol w:w="2166"/>
        <w:gridCol w:w="2217"/>
        <w:gridCol w:w="2265"/>
      </w:tblGrid>
      <w:tr w:rsidR="001F7452" w:rsidRPr="00B8059D" w14:paraId="3A85A15F" w14:textId="77777777" w:rsidTr="004353B7">
        <w:tc>
          <w:tcPr>
            <w:tcW w:w="0" w:type="auto"/>
          </w:tcPr>
          <w:p w14:paraId="297EB062" w14:textId="77777777" w:rsidR="00B8059D" w:rsidRPr="00B8059D" w:rsidRDefault="00B8059D" w:rsidP="00B8059D">
            <w:pPr>
              <w:spacing w:after="160" w:line="278" w:lineRule="auto"/>
              <w:jc w:val="center"/>
              <w:rPr>
                <w:rFonts w:ascii="Trebuchet MS" w:eastAsia="Calibri" w:hAnsi="Trebuchet MS"/>
                <w:b/>
                <w:bCs/>
                <w:sz w:val="22"/>
                <w:szCs w:val="22"/>
                <w:lang w:val="id-ID"/>
              </w:rPr>
            </w:pPr>
            <w:r w:rsidRPr="00B8059D">
              <w:rPr>
                <w:rFonts w:ascii="Trebuchet MS" w:eastAsia="Calibri" w:hAnsi="Trebuchet MS"/>
                <w:b/>
                <w:bCs/>
                <w:sz w:val="22"/>
                <w:szCs w:val="22"/>
                <w:lang w:val="id-ID"/>
              </w:rPr>
              <w:t>No.</w:t>
            </w:r>
          </w:p>
        </w:tc>
        <w:tc>
          <w:tcPr>
            <w:tcW w:w="0" w:type="auto"/>
          </w:tcPr>
          <w:p w14:paraId="7C417B4F" w14:textId="77777777" w:rsidR="00B8059D" w:rsidRPr="00B8059D" w:rsidRDefault="00B8059D" w:rsidP="00B8059D">
            <w:pPr>
              <w:spacing w:after="160" w:line="278" w:lineRule="auto"/>
              <w:jc w:val="center"/>
              <w:rPr>
                <w:rFonts w:ascii="Trebuchet MS" w:eastAsia="Calibri" w:hAnsi="Trebuchet MS"/>
                <w:b/>
                <w:bCs/>
                <w:sz w:val="22"/>
                <w:szCs w:val="22"/>
                <w:lang w:val="id-ID"/>
              </w:rPr>
            </w:pPr>
            <w:r w:rsidRPr="00B8059D">
              <w:rPr>
                <w:rFonts w:ascii="Trebuchet MS" w:eastAsia="Calibri" w:hAnsi="Trebuchet MS"/>
                <w:b/>
                <w:bCs/>
                <w:sz w:val="22"/>
                <w:szCs w:val="22"/>
                <w:lang w:val="id-ID"/>
              </w:rPr>
              <w:t>Peneliti</w:t>
            </w:r>
          </w:p>
        </w:tc>
        <w:tc>
          <w:tcPr>
            <w:tcW w:w="0" w:type="auto"/>
          </w:tcPr>
          <w:p w14:paraId="7724927D" w14:textId="77777777" w:rsidR="00B8059D" w:rsidRPr="00B8059D" w:rsidRDefault="00B8059D" w:rsidP="00B8059D">
            <w:pPr>
              <w:spacing w:after="160" w:line="278" w:lineRule="auto"/>
              <w:jc w:val="center"/>
              <w:rPr>
                <w:rFonts w:ascii="Trebuchet MS" w:eastAsia="Calibri" w:hAnsi="Trebuchet MS"/>
                <w:b/>
                <w:bCs/>
                <w:sz w:val="22"/>
                <w:szCs w:val="22"/>
                <w:lang w:val="id-ID"/>
              </w:rPr>
            </w:pPr>
            <w:r w:rsidRPr="00B8059D">
              <w:rPr>
                <w:rFonts w:ascii="Trebuchet MS" w:eastAsia="Calibri" w:hAnsi="Trebuchet MS"/>
                <w:b/>
                <w:bCs/>
                <w:sz w:val="22"/>
                <w:szCs w:val="22"/>
                <w:lang w:val="id-ID"/>
              </w:rPr>
              <w:t>Judul</w:t>
            </w:r>
          </w:p>
        </w:tc>
        <w:tc>
          <w:tcPr>
            <w:tcW w:w="0" w:type="auto"/>
          </w:tcPr>
          <w:p w14:paraId="5114AAF0" w14:textId="77777777" w:rsidR="00B8059D" w:rsidRPr="00B8059D" w:rsidRDefault="00B8059D" w:rsidP="00B8059D">
            <w:pPr>
              <w:spacing w:after="160" w:line="278" w:lineRule="auto"/>
              <w:jc w:val="center"/>
              <w:rPr>
                <w:rFonts w:ascii="Trebuchet MS" w:eastAsia="Calibri" w:hAnsi="Trebuchet MS"/>
                <w:b/>
                <w:bCs/>
                <w:sz w:val="22"/>
                <w:szCs w:val="22"/>
                <w:lang w:val="id-ID"/>
              </w:rPr>
            </w:pPr>
            <w:r w:rsidRPr="00B8059D">
              <w:rPr>
                <w:rFonts w:ascii="Trebuchet MS" w:eastAsia="Calibri" w:hAnsi="Trebuchet MS"/>
                <w:b/>
                <w:bCs/>
                <w:sz w:val="22"/>
                <w:szCs w:val="22"/>
                <w:lang w:val="id-ID"/>
              </w:rPr>
              <w:t>Tujuan</w:t>
            </w:r>
          </w:p>
        </w:tc>
        <w:tc>
          <w:tcPr>
            <w:tcW w:w="0" w:type="auto"/>
          </w:tcPr>
          <w:p w14:paraId="20EE97D3" w14:textId="77777777" w:rsidR="00B8059D" w:rsidRPr="00B8059D" w:rsidRDefault="00B8059D" w:rsidP="00B8059D">
            <w:pPr>
              <w:spacing w:after="160" w:line="278" w:lineRule="auto"/>
              <w:jc w:val="center"/>
              <w:rPr>
                <w:rFonts w:ascii="Trebuchet MS" w:eastAsia="Calibri" w:hAnsi="Trebuchet MS"/>
                <w:b/>
                <w:bCs/>
                <w:sz w:val="22"/>
                <w:szCs w:val="22"/>
                <w:lang w:val="id-ID"/>
              </w:rPr>
            </w:pPr>
            <w:r w:rsidRPr="00B8059D">
              <w:rPr>
                <w:rFonts w:ascii="Trebuchet MS" w:eastAsia="Calibri" w:hAnsi="Trebuchet MS"/>
                <w:b/>
                <w:bCs/>
                <w:sz w:val="22"/>
                <w:szCs w:val="22"/>
                <w:lang w:val="id-ID"/>
              </w:rPr>
              <w:t>Metode</w:t>
            </w:r>
          </w:p>
        </w:tc>
        <w:tc>
          <w:tcPr>
            <w:tcW w:w="0" w:type="auto"/>
          </w:tcPr>
          <w:p w14:paraId="7C433CEF" w14:textId="77777777" w:rsidR="00B8059D" w:rsidRPr="00B8059D" w:rsidRDefault="00B8059D" w:rsidP="00B8059D">
            <w:pPr>
              <w:spacing w:after="160" w:line="278" w:lineRule="auto"/>
              <w:jc w:val="center"/>
              <w:rPr>
                <w:rFonts w:ascii="Trebuchet MS" w:eastAsia="Calibri" w:hAnsi="Trebuchet MS"/>
                <w:b/>
                <w:bCs/>
                <w:sz w:val="22"/>
                <w:szCs w:val="22"/>
                <w:lang w:val="id-ID"/>
              </w:rPr>
            </w:pPr>
            <w:r w:rsidRPr="00B8059D">
              <w:rPr>
                <w:rFonts w:ascii="Trebuchet MS" w:eastAsia="Calibri" w:hAnsi="Trebuchet MS"/>
                <w:b/>
                <w:bCs/>
                <w:sz w:val="22"/>
                <w:szCs w:val="22"/>
                <w:lang w:val="id-ID"/>
              </w:rPr>
              <w:t>Hasil</w:t>
            </w:r>
          </w:p>
        </w:tc>
      </w:tr>
      <w:tr w:rsidR="001F7452" w:rsidRPr="008E7429" w14:paraId="7AC53168" w14:textId="77777777" w:rsidTr="004353B7">
        <w:tc>
          <w:tcPr>
            <w:tcW w:w="0" w:type="auto"/>
          </w:tcPr>
          <w:p w14:paraId="338C9FCA"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34DADFE6"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{"citationItems":[{"id":"ITEM-1","itemData":{"DOI":"10.54082/jupin.1473","ISSN":"2808-148X","abstract":"Kajian penelitian ini bertujuan menganalisis pendekatan administrasi integratif dalam tata kelola pemerintahan melalui kajian hubungan antara desain organisasi, sistem negara, dan perilaku aparatur. Metode yang digunakan adalah tinjauan literatur terhadap 25 karya ilmiah relevan, dengan analisis tematik untuk mengidentifikasi pola dan temuan utama. Hasil menunjukkan bahwa struktur sentralistik cenderung menghambat efektivitas layanan publik akibat birokrasi yang kaku, sementara struktur desentralistik meningkatkan responsivitas melalui kolaborasi antar lembaga. Nilai-nilai publik seperti transparansi, akuntabilitas, dan partisipasi memperkuat kepercayaan masyarakat serta legitimasi institusi. Pendekatan administrasi integratif yang ditemukan nantinya mampu menyelaraskan struktur organisasi dan sistem pemerintahan dengan nilai-nilai publik untuk mendukung tata kelola yang adaptif dan efektif.","author":[{"dropping-particle":"","family":"Fransiska","given":"Winda","non-dropping-particle":"","parse-names":false,"suffix":""},{"dropping-particle":"","family":"Pratama","given":"M. Naufal Riski Fathurrahman","non-dropping-particle":"","parse-names":false,"suffix":""},{"dropping-particle":"","family":"Jumiati","given":"Jumiati","non-dropping-particle":"","parse-names":false,"suffix":""},{"dropping-particle":"","family":"Saputra","given":"Boni","non-dropping-particle":"","parse-names":false,"suffix":""}],"container-title":"Jurnal Penelitian Inovatif","id":"ITEM-1","issue":"2","issued":{"date-parts":[["2025"]]},"page":"1391-1400","title":"Kajian Literatur Model Administrasi Integratif dalam Hubungan Antara Struktur Organisasi, Sistem Negara, dan Nilai-Nilai Publik","type":"article-journal","volume":"5"},"uris":["http://www.mendeley.com/documents/?uuid=3fbb83fb-3abd-49e1-b3d1-b4143dc317eb"]}],"mendeley":{"formattedCitation":"(Fransiska et al. 2025)","manualFormatting":"Fransiska et al. (2025)","plainTextFormattedCitation":"(Fransiska et al. 2025)","previouslyFormattedCitation":"(Fransiska et al. 2025)"},"properties":{"noteIndex":0},"schema":"https://github.com/citation-style-language/schema/raw/master/csl-citation.json"}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 xml:space="preserve">Fransiska </w:t>
            </w:r>
            <w:r w:rsidRPr="00B8059D">
              <w:rPr>
                <w:rFonts w:ascii="Trebuchet MS" w:eastAsia="Calibri" w:hAnsi="Trebuchet MS"/>
                <w:i/>
                <w:iCs/>
                <w:noProof/>
                <w:sz w:val="22"/>
                <w:szCs w:val="22"/>
                <w:lang w:val="id-ID"/>
              </w:rPr>
              <w:t>et al.</w:t>
            </w:r>
            <w:r w:rsidRPr="00B8059D">
              <w:rPr>
                <w:rFonts w:ascii="Trebuchet MS" w:eastAsia="Calibri" w:hAnsi="Trebuchet MS"/>
                <w:noProof/>
                <w:sz w:val="22"/>
                <w:szCs w:val="22"/>
                <w:lang w:val="id-ID"/>
              </w:rPr>
              <w:t xml:space="preserve"> (2025)</w:t>
            </w:r>
            <w:r w:rsidRPr="00B8059D">
              <w:rPr>
                <w:rFonts w:ascii="Trebuchet MS" w:eastAsia="Calibri" w:hAnsi="Trebuchet MS"/>
                <w:sz w:val="22"/>
                <w:szCs w:val="22"/>
                <w:lang w:val="id-ID"/>
              </w:rPr>
              <w:fldChar w:fldCharType="end"/>
            </w:r>
          </w:p>
        </w:tc>
        <w:tc>
          <w:tcPr>
            <w:tcW w:w="0" w:type="auto"/>
          </w:tcPr>
          <w:p w14:paraId="4BCC5A6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Kajian Literatur Model Administrasi Integratif dalam Hubungan Antara Struktur Organisasi, Sistem Negara, dan Nilai-Nilai Publik</w:t>
            </w:r>
          </w:p>
        </w:tc>
        <w:tc>
          <w:tcPr>
            <w:tcW w:w="0" w:type="auto"/>
          </w:tcPr>
          <w:p w14:paraId="79B46E04"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Bertujuan untuk menganalisis pendekatan administrasi integratif dalam tata kelola pemerintahan melalui kajian hubungan antara desain organisasi, sistem negara, dan perilaku aparatur.</w:t>
            </w:r>
          </w:p>
        </w:tc>
        <w:tc>
          <w:tcPr>
            <w:tcW w:w="0" w:type="auto"/>
          </w:tcPr>
          <w:p w14:paraId="19ED786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Metode yang digunakan </w:t>
            </w:r>
          </w:p>
          <w:p w14:paraId="4631D9D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adalah tinjauan literatur terhadap 25 karya ilmiah relevan, dengan analisis  tematik untuk mengidentifikasi pola </w:t>
            </w:r>
          </w:p>
          <w:p w14:paraId="0180058D"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dan temuan utama.</w:t>
            </w:r>
          </w:p>
        </w:tc>
        <w:tc>
          <w:tcPr>
            <w:tcW w:w="0" w:type="auto"/>
          </w:tcPr>
          <w:p w14:paraId="276194EB"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menunjukkan bahwa struktur sentralistik cenderung menghambat  efektivitas layanan publik  akibat  birokrasi  yang  kaku,  sementara struktur  desentralistik  meningkatkan  responsivitas  melalui  kolaborasi  antar  lembaga.  Nilai-nilai  publik  seperti  transparansi,  akuntabilitas,  dan  </w:t>
            </w:r>
            <w:r w:rsidRPr="00B8059D">
              <w:rPr>
                <w:rFonts w:ascii="Trebuchet MS" w:eastAsia="Calibri" w:hAnsi="Trebuchet MS"/>
                <w:sz w:val="22"/>
                <w:szCs w:val="22"/>
                <w:lang w:val="id-ID"/>
              </w:rPr>
              <w:lastRenderedPageBreak/>
              <w:t xml:space="preserve">partisipasi  memperkuat </w:t>
            </w:r>
          </w:p>
          <w:p w14:paraId="659AB2AB"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kepercayaan masyarakat  serta legitimasi institusi.</w:t>
            </w:r>
          </w:p>
        </w:tc>
      </w:tr>
      <w:tr w:rsidR="001F7452" w:rsidRPr="008E7429" w14:paraId="48DE01BB" w14:textId="77777777" w:rsidTr="004353B7">
        <w:tc>
          <w:tcPr>
            <w:tcW w:w="0" w:type="auto"/>
          </w:tcPr>
          <w:p w14:paraId="7A055EDC"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3B151655"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{"citationItems":[{"id":"ITEM-1","itemData":{"abstract":"Abstrak Penyelenggaraan pelayanan publik merupakan upaya negara untuk memenuhi kebutuhan dasar dan hak-hak sipil setiap warga negara atas barang, jasa, dan pelayanan administrasi yang disediakan oleh penyelenggara pelayanan publik. Pada kenyataannya sampai saat ini, pelayanan publik masih dinilai belum memuaskan masyarakat. Hal tersebut dikarenakan beberapa permasalahan etika administrator pelayanan publik seperti sikap kurang responsif, kurang mau mendengar saran dan keluhan, inefisiensi, diskriminatif serta sikap kurang ramah. Etika masih dianggap suatu hal yang kurang penting dan diabaikan, padahal penerapan etika atau kode etik administrator dalam menjalankan pelayanan akan mendorong optimalisasi pelayanan publik. Selain itu, optimalisasi pelayanan publik akan bisa mewujudkan good governance yang selama ini menjadi harapan masyarakat. Oleh karena itu, penelitian ini akan membahas tentang dampak kode etik sebagai faktor utama yang mempengaruhi pelayanan publik dalam mewujudkan good governance. Penelitian ini menggunakan pendekatan kualitatif dengan metode studi pustaka yang diambil dari beberapa jurnal dan artikel yang berkaitan dengan fenomena dan objek yang diteliti. Hasil penelitian menunjukkan bahwa penerapan etika pelayanan publik bagi pegawai memegang peranan penting karena akan mencegah perbuatan yang tidak etis, dapat meminimalisir masalah pelayanan publik sehingga membangkitkan dukungan dan kepercayaan dari masyarakat luas bahwa terciptanya pelayanan publik yang baik dapat membangun good governance menjadi suatu kenyataan. Kata Kunci : Etika, Kode Etik, Pelayanan Publik, Administrator, Good governance. Abstract The implementation of public services is an effort by the state to fulfill the basic needs and civil rights of every citizen for goods, services, and administrative services provided by public service providers. In fact, until now, public services are still considered unsatisfactory to the community. This is due to several ethical problems of public service administrators such as being less responsive, less willing to listen to suggestions and complaints, inefficiency, discriminatory and unfriendly attitudes. Ethics is still considered something that is less important and is ignored, even though the application of ethics or an administrator's code of ethics in carrying out services will encourage the optimization of public services. In addition, the optimization of public services will be able to realize good governance which has been…","author":[{"dropping-particle":"","family":"Budiman","given":"","non-dropping-particle":"","parse-names":false,"suffix":""},{"dropping-particle":"","family":"Aditya Ferlan Farhanuddin","given":"","non-dropping-particle":"","parse-names":false,"suffix":""},{"dropping-particle":"","family":"Astri Ayulia Putri Setia","given":"","non-dropping-particle":"","parse-names":false,"suffix":""},{"dropping-particle":"","family":"Diella Jauza","given":"","non-dropping-particle":"","parse-names":false,"suffix":""}],"container-title":"Jurnal DIALEKTIKA : Jurnal Ilmu Sosial","id":"ITEM-1","issue":"1","issued":{"date-parts":[["2022"]]},"page":"64-74","title":"Penerapan Etika Pelayanan Publik dalam Mewujudkan Good Governance","type":"article-journal","volume":"19"},"uris":["http://www.mendeley.com/documents/?uuid=6ce7e60d-46db-4da0-b8ca-1d93cc773c11"]}],"mendeley":{"formattedCitation":"(Budiman et al. 2022)","manualFormatting":"Budiman et al. (2022)","plainTextFormattedCitation":"(Budiman et al. 2022)","previouslyFormattedCitation":"(Budiman et al. 2022)"},"properties":{"noteIndex":0},"schema":"https://github.com/citation-style-language/schema/raw/master/csl-citation.json"}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 xml:space="preserve">Budiman </w:t>
            </w:r>
            <w:r w:rsidRPr="00B8059D">
              <w:rPr>
                <w:rFonts w:ascii="Trebuchet MS" w:eastAsia="Calibri" w:hAnsi="Trebuchet MS"/>
                <w:i/>
                <w:iCs/>
                <w:noProof/>
                <w:sz w:val="22"/>
                <w:szCs w:val="22"/>
                <w:lang w:val="id-ID"/>
              </w:rPr>
              <w:t>et al.</w:t>
            </w:r>
            <w:r w:rsidRPr="00B8059D">
              <w:rPr>
                <w:rFonts w:ascii="Trebuchet MS" w:eastAsia="Calibri" w:hAnsi="Trebuchet MS"/>
                <w:noProof/>
                <w:sz w:val="22"/>
                <w:szCs w:val="22"/>
                <w:lang w:val="id-ID"/>
              </w:rPr>
              <w:t xml:space="preserve"> (2022)</w:t>
            </w:r>
            <w:r w:rsidRPr="00B8059D">
              <w:rPr>
                <w:rFonts w:ascii="Trebuchet MS" w:eastAsia="Calibri" w:hAnsi="Trebuchet MS"/>
                <w:sz w:val="22"/>
                <w:szCs w:val="22"/>
                <w:lang w:val="id-ID"/>
              </w:rPr>
              <w:fldChar w:fldCharType="end"/>
            </w:r>
          </w:p>
        </w:tc>
        <w:tc>
          <w:tcPr>
            <w:tcW w:w="0" w:type="auto"/>
          </w:tcPr>
          <w:p w14:paraId="330690D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Penerapan Etika Pelayanan Publik dalam Mewujudkan </w:t>
            </w:r>
            <w:r w:rsidRPr="00B8059D">
              <w:rPr>
                <w:rFonts w:ascii="Trebuchet MS" w:eastAsia="Calibri" w:hAnsi="Trebuchet MS"/>
                <w:i/>
                <w:iCs/>
                <w:sz w:val="22"/>
                <w:szCs w:val="22"/>
                <w:lang w:val="id-ID"/>
              </w:rPr>
              <w:t>Good Governance</w:t>
            </w:r>
          </w:p>
        </w:tc>
        <w:tc>
          <w:tcPr>
            <w:tcW w:w="0" w:type="auto"/>
          </w:tcPr>
          <w:p w14:paraId="1DEEAF3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Untuk membahas  tentang  dampak  kode   etik  sebagai  faktor  utama  yang mempengaruhi pelayananpublik   dalam   mewujudkan </w:t>
            </w:r>
            <w:r w:rsidRPr="00B8059D">
              <w:rPr>
                <w:rFonts w:ascii="Trebuchet MS" w:eastAsia="Calibri" w:hAnsi="Trebuchet MS"/>
                <w:i/>
                <w:iCs/>
                <w:sz w:val="22"/>
                <w:szCs w:val="22"/>
                <w:lang w:val="id-ID"/>
              </w:rPr>
              <w:t>good   governance</w:t>
            </w:r>
            <w:r w:rsidRPr="00B8059D">
              <w:rPr>
                <w:rFonts w:ascii="Trebuchet MS" w:eastAsia="Calibri" w:hAnsi="Trebuchet MS"/>
                <w:sz w:val="22"/>
                <w:szCs w:val="22"/>
                <w:lang w:val="id-ID"/>
              </w:rPr>
              <w:t>.</w:t>
            </w:r>
          </w:p>
        </w:tc>
        <w:tc>
          <w:tcPr>
            <w:tcW w:w="0" w:type="auto"/>
          </w:tcPr>
          <w:p w14:paraId="68C5A707"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Menggunakan pendekatan kualitatif dengan metode studi pustaka yang diambil dari beberapa jurnal  dan  artikel  yang  berkaitan  dengan  fenomena  dan  objek  yang  diteliti.</w:t>
            </w:r>
          </w:p>
        </w:tc>
        <w:tc>
          <w:tcPr>
            <w:tcW w:w="0" w:type="auto"/>
          </w:tcPr>
          <w:p w14:paraId="01A598A7"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penelitian menunjukkan  bahwa  penerapan  etika  pelayanan  publik  bagi  pegawai  memegang  perananpenting  karena  akan  mencegah  perbuatan  yang  tidak  etis,  dapat  meminimalisir  masalah pelayanan publik sehingga membangkitkan dukungan dan kepercayaan dari masyarakat luas bahwa terciptanya pelayanan publik yang baik dapat membangun </w:t>
            </w:r>
            <w:r w:rsidRPr="00B8059D">
              <w:rPr>
                <w:rFonts w:ascii="Trebuchet MS" w:eastAsia="Calibri" w:hAnsi="Trebuchet MS"/>
                <w:i/>
                <w:iCs/>
                <w:sz w:val="22"/>
                <w:szCs w:val="22"/>
                <w:lang w:val="id-ID"/>
              </w:rPr>
              <w:t>good governance menjadi suatu kenyataan.</w:t>
            </w:r>
          </w:p>
        </w:tc>
      </w:tr>
      <w:tr w:rsidR="001F7452" w:rsidRPr="008E7429" w14:paraId="1338F223" w14:textId="77777777" w:rsidTr="004353B7">
        <w:tc>
          <w:tcPr>
            <w:tcW w:w="0" w:type="auto"/>
          </w:tcPr>
          <w:p w14:paraId="07F52C38"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63AE11A5"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{"citationItems":[{"id":"ITEM-1","itemData":{"DOI":"10.36982/jpg.v9i3.3757","ISSN":"2502-0900","abstract":"Ethics plays a crucial role in determining the successful operation of organizations and individuals in public administration. This includes various stages, from the design of organizational structures to policy formulation, implementation, and evaluation of policies and public services. This article explains the ethics of public administration in Good Governance in Indonesia. The research was conducted using qualitative methods, as well as the collection of primary and secondary data. Primary data was obtained from observation, and secondary data was obtained from literature and media studies. The observations that have been made show that Indonesian authorities continue to commit significant violations of the code of ethics. In addition to enforcing the law, the government must also uphold the ethics of public administration to prevent or minimize this problem. To enable a discussion on governance in Indonesia, this paper investigates the ethics of public administration and bureaucracy. The conclusion that can be drawn is that in running the government, public administrators use public administration ethics as a reference because all citizens will be affected by the actions of public administrators. Therefore, public administrators must understand and apply public administration ethics to the regulations to ensure Good Governance. The implications of this research are references to changes in the system that are more.","author":[{"dropping-particle":"","family":"Choirulsyah","given":"Darmawan","non-dropping-particle":"","parse-names":false,"suffix":""},{"dropping-particle":"","family":"Azhar","given":"Azhar","non-dropping-particle":"","parse-names":false,"suffix":""}],"container-title":"Jurnal Pemerintahan dan Politik","id":"ITEM-1","issue":"3","issued":{"date-parts":[["2024"]]},"page":"195-203","title":"Implementasi Etika Administrasi Publik : Langkah Utama dalam Menciptakan Good Governance di Indonesia","type":"article-journal","volume":"9"},"uris":["http://www.mendeley.com/documents/?uuid=2671ba27-7a9f-4d2d-9979-de4704c89e3d"]}],"mendeley":{"formattedCitation":"(Choirulsyah and Azhar 2024)","manualFormatting":"Choirulsyah dan Azhar (2024)","plainTextFormattedCitation":"(Choirulsyah and Azhar 2024)","previouslyFormattedCitation":"(Choirulsyah and Azhar 2024)"},"properties":{"noteIndex":0},"schema":"https://github.com/citation-style-language/schema/raw/master/csl-citation.json"}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Choirulsyah dan Azhar (2024)</w:t>
            </w:r>
            <w:r w:rsidRPr="00B8059D">
              <w:rPr>
                <w:rFonts w:ascii="Trebuchet MS" w:eastAsia="Calibri" w:hAnsi="Trebuchet MS"/>
                <w:sz w:val="22"/>
                <w:szCs w:val="22"/>
                <w:lang w:val="id-ID"/>
              </w:rPr>
              <w:fldChar w:fldCharType="end"/>
            </w:r>
          </w:p>
        </w:tc>
        <w:tc>
          <w:tcPr>
            <w:tcW w:w="0" w:type="auto"/>
          </w:tcPr>
          <w:p w14:paraId="27E7D4B7"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Implementasi Etika Administrasi Publik: Langkah Utama dalam Menciptakan Good Governance di Indonesia</w:t>
            </w:r>
          </w:p>
        </w:tc>
        <w:tc>
          <w:tcPr>
            <w:tcW w:w="0" w:type="auto"/>
          </w:tcPr>
          <w:p w14:paraId="03D827E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Tujuan penulisan penelitian ini adalah menganalisis peran etika dalam administrasi publik sebagai landasan tata kelola pemerintahan yang baik di Indonesia serta mengidentifikasi penerapan etika dan dampak </w:t>
            </w:r>
            <w:r w:rsidRPr="00B8059D">
              <w:rPr>
                <w:rFonts w:ascii="Trebuchet MS" w:eastAsia="Calibri" w:hAnsi="Trebuchet MS"/>
                <w:sz w:val="22"/>
                <w:szCs w:val="22"/>
                <w:lang w:val="id-ID"/>
              </w:rPr>
              <w:lastRenderedPageBreak/>
              <w:t>pelanggaran kode etik terhadap efektivitas layanan publik dan pelaksanaan kebijakan.</w:t>
            </w:r>
          </w:p>
        </w:tc>
        <w:tc>
          <w:tcPr>
            <w:tcW w:w="0" w:type="auto"/>
          </w:tcPr>
          <w:p w14:paraId="168098D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lastRenderedPageBreak/>
              <w:t>Penelitian ini menggunakan pendekatan  kualitatif,  dimana  informasi  utama  diperoleh  melalui  observasi,  sedangkan  data  tambahan diperoleh dari sumber media dan studi kepustakaan.</w:t>
            </w:r>
          </w:p>
        </w:tc>
        <w:tc>
          <w:tcPr>
            <w:tcW w:w="0" w:type="auto"/>
          </w:tcPr>
          <w:p w14:paraId="5E739571"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observasi yang telah dilakukan menunjukkan bahwa pihak  berwenang  di  Indonesia  masih  terus  melakukan  pelanggaran  kode  etik  yang  cukup  signifikan.  Selain menegakkan  hukum,  pemerintah  juga  harus  menegakkan  etika  administrasi  publik  </w:t>
            </w:r>
            <w:r w:rsidRPr="00B8059D">
              <w:rPr>
                <w:rFonts w:ascii="Trebuchet MS" w:eastAsia="Calibri" w:hAnsi="Trebuchet MS"/>
                <w:sz w:val="22"/>
                <w:szCs w:val="22"/>
                <w:lang w:val="id-ID"/>
              </w:rPr>
              <w:lastRenderedPageBreak/>
              <w:t>untuk  mencegah  atau meminimalisir  masalah  tersebut.</w:t>
            </w:r>
          </w:p>
        </w:tc>
      </w:tr>
      <w:tr w:rsidR="001F7452" w:rsidRPr="008E7429" w14:paraId="348506BA" w14:textId="77777777" w:rsidTr="004353B7">
        <w:tc>
          <w:tcPr>
            <w:tcW w:w="0" w:type="auto"/>
          </w:tcPr>
          <w:p w14:paraId="0AADD347"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498F04DD"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{"citationItems":[{"id":"ITEM-1","itemData":{"DOI":"10.36982/jpg.v8i4.3416","ISSN":"2502-0900","abstract":"Accelerating government ethics in bureaucracy is a very important thing for every government apparatus to realize. As a government administrator, you must be able to actualize ethical values in providing services to the community. The aim of this research is to examine and explain how to strengthe government ethical values as an effort to improve the performance of government officials. The method used in this writing is a qualitative method with a literature review study approach. The results of the discussion in this paper show that strengthening government ethics can be realized by internalizing Pancasila values for government officials. Pancasila, as a state ideology and also as a guideline for attitudes and behavior, needs to be synergized by the apparatus in the form of services to the community. Apart from that, it is urgent to implement bureaucratic culture reform by the government as the embodiment of professional and qualified bureaucrats.","author":[{"dropping-particle":"","family":"Afrijal","given":"Afrijal","non-dropping-particle":"","parse-names":false,"suffix":""},{"dropping-particle":"","family":"Helmi","given":"Helmi","non-dropping-particle":"","parse-names":false,"suffix":""},{"dropping-particle":"","family":"Latif","given":"Ikhwan Rahmatika","non-dropping-particle":"","parse-names":false,"suffix":""},{"dropping-particle":"","family":"Usman","given":"Bustami","non-dropping-particle":"","parse-names":false,"suffix":""}],"container-title":"Jurnal Pemerintahan dan Politik","id":"ITEM-1","issue":"4","issued":{"date-parts":[["2023"]]},"page":"269-275","title":"Penguatan Etika Pemerintahan sebagai Upaya Meningkatkan Kinerja Aparatur Pemerintahan","type":"article-journal","volume":"8"},"uris":["http://www.mendeley.com/documents/?uuid=2537141a-91b7-460e-a014-80742e60a13a"]}],"mendeley":{"formattedCitation":"(Afrijal et al. 2023)","manualFormatting":"Afrijal et al. (2023)","plainTextFormattedCitation":"(Afrijal et al. 2023)","previouslyFormattedCitation":"(Afrijal et al. 2023)"},"properties":{"noteIndex":0},"schema":"https://github.com/citation-style-language/schema/raw/master/csl-citation.json"}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 xml:space="preserve">Afrijal </w:t>
            </w:r>
            <w:r w:rsidRPr="00B8059D">
              <w:rPr>
                <w:rFonts w:ascii="Trebuchet MS" w:eastAsia="Calibri" w:hAnsi="Trebuchet MS"/>
                <w:i/>
                <w:iCs/>
                <w:noProof/>
                <w:sz w:val="22"/>
                <w:szCs w:val="22"/>
                <w:lang w:val="id-ID"/>
              </w:rPr>
              <w:t>et al.</w:t>
            </w:r>
            <w:r w:rsidRPr="00B8059D">
              <w:rPr>
                <w:rFonts w:ascii="Trebuchet MS" w:eastAsia="Calibri" w:hAnsi="Trebuchet MS"/>
                <w:noProof/>
                <w:sz w:val="22"/>
                <w:szCs w:val="22"/>
                <w:lang w:val="id-ID"/>
              </w:rPr>
              <w:t xml:space="preserve"> (2023)</w:t>
            </w:r>
            <w:r w:rsidRPr="00B8059D">
              <w:rPr>
                <w:rFonts w:ascii="Trebuchet MS" w:eastAsia="Calibri" w:hAnsi="Trebuchet MS"/>
                <w:sz w:val="22"/>
                <w:szCs w:val="22"/>
                <w:lang w:val="id-ID"/>
              </w:rPr>
              <w:fldChar w:fldCharType="end"/>
            </w:r>
          </w:p>
        </w:tc>
        <w:tc>
          <w:tcPr>
            <w:tcW w:w="0" w:type="auto"/>
          </w:tcPr>
          <w:p w14:paraId="0EBA635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Penguatan Etika Pemerintahan sebagai Upaya Meningkatkan Kinerja Aparatur Pemerintahan</w:t>
            </w:r>
          </w:p>
        </w:tc>
        <w:tc>
          <w:tcPr>
            <w:tcW w:w="0" w:type="auto"/>
          </w:tcPr>
          <w:p w14:paraId="1F82886E" w14:textId="77777777" w:rsidR="00B8059D" w:rsidRPr="00B8059D" w:rsidRDefault="00B8059D" w:rsidP="00B8059D">
            <w:pPr>
              <w:spacing w:after="160" w:line="278" w:lineRule="auto"/>
              <w:jc w:val="both"/>
              <w:rPr>
                <w:rFonts w:ascii="Trebuchet MS" w:eastAsia="Calibri" w:hAnsi="Trebuchet MS"/>
                <w:sz w:val="22"/>
                <w:szCs w:val="22"/>
                <w:lang w:val="sv-SE"/>
              </w:rPr>
            </w:pPr>
            <w:r w:rsidRPr="00B8059D">
              <w:rPr>
                <w:rFonts w:ascii="Trebuchet MS" w:eastAsia="Calibri" w:hAnsi="Trebuchet MS"/>
                <w:sz w:val="22"/>
                <w:szCs w:val="22"/>
                <w:lang w:val="sv-SE"/>
              </w:rPr>
              <w:t>Tujuan  dari  penelitian  ini  untuk  mengkaji  dan menjelaskan  bagaimana  penguatan  nilai  etika pemerintahan sebagai upaya meningkatkan kinerja aparatur pemerintahan.</w:t>
            </w:r>
          </w:p>
        </w:tc>
        <w:tc>
          <w:tcPr>
            <w:tcW w:w="0" w:type="auto"/>
          </w:tcPr>
          <w:p w14:paraId="6DB8ACCA"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sv-SE"/>
              </w:rPr>
              <w:t xml:space="preserve">Metode yang digunakan dalam penulisan ini dengan metode kualitatif dengan pendekatan studi </w:t>
            </w:r>
            <w:r w:rsidRPr="00B8059D">
              <w:rPr>
                <w:rFonts w:ascii="Trebuchet MS" w:eastAsia="Calibri" w:hAnsi="Trebuchet MS"/>
                <w:i/>
                <w:iCs/>
                <w:sz w:val="22"/>
                <w:szCs w:val="22"/>
                <w:lang w:val="sv-SE"/>
              </w:rPr>
              <w:t>literature review</w:t>
            </w:r>
            <w:r w:rsidRPr="00B8059D">
              <w:rPr>
                <w:rFonts w:ascii="Trebuchet MS" w:eastAsia="Calibri" w:hAnsi="Trebuchet MS"/>
                <w:sz w:val="22"/>
                <w:szCs w:val="22"/>
                <w:lang w:val="sv-SE"/>
              </w:rPr>
              <w:t>.</w:t>
            </w:r>
          </w:p>
        </w:tc>
        <w:tc>
          <w:tcPr>
            <w:tcW w:w="0" w:type="auto"/>
          </w:tcPr>
          <w:p w14:paraId="60C9B080"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sv-SE"/>
              </w:rPr>
              <w:t>Hasil pembahasan dalam penulisan ini dapat dilihat bahwa   penguatan   etika   pemerintahan   dapat   diwujudkan   dengan   internalisasi   nila-nilai   pancasila   bagi   aparatur pemerintahan.</w:t>
            </w:r>
          </w:p>
        </w:tc>
      </w:tr>
      <w:tr w:rsidR="001F7452" w:rsidRPr="008E7429" w14:paraId="0FF0A83E" w14:textId="77777777" w:rsidTr="004353B7">
        <w:tc>
          <w:tcPr>
            <w:tcW w:w="0" w:type="auto"/>
          </w:tcPr>
          <w:p w14:paraId="6E5FDA72"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6E4C2F30"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author":[{"dropping-particle":"","family":"Manurung","given":"Gerson","non-dropping-particle":"","parse-names":false,"suffix":""},{"dropping-particle":"","family":"Manurung","given":"Catarina","non-dropping-particle":"","parse-names":false,"suffix":""},{"dropping-particle":"","family":"Sangapan","given":"Lukman Hakim","non-dropping-particle":"","parse-names":false,"suffix":""},{"dropping-particle":"","family":"Manurung","given":"Adler Haymans","non-dropping-particle":"","parse-names":false,"suffix":""}],"container-title":"JURNAL STRATEGI DAN SUMBER DAYA MANUSIA","id":"ITEM-1","issue":"1","issued":{"date-parts":[["2025"]]},"page":"48-58","title":"Tren dan Isu Dalam Manajemen SDM di Sektor Publik: Studi Literatur","type":"article-journal","volume":"1"},"uris":["http://www.mendeley.com/documents/?uuid=9f85b72b-8762-4356-800f-a8f33b8cc34d"]}],"mendeley":{"formattedCitation":"(Manurung et al. 2025)","manualFormatting":"Manurung et al. (2025)","plainTextFormattedCitation":"(Manurung et al. 2025)","previouslyFormattedCitation":"(Manurung et al. 2025)"},"properties":{"noteIndex":0},"schema":"https://github.com/citation-style-language/schema/raw/master/csl-citation.json"}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 xml:space="preserve">Manurung </w:t>
            </w:r>
            <w:r w:rsidRPr="00B8059D">
              <w:rPr>
                <w:rFonts w:ascii="Trebuchet MS" w:eastAsia="Calibri" w:hAnsi="Trebuchet MS"/>
                <w:i/>
                <w:iCs/>
                <w:noProof/>
                <w:sz w:val="22"/>
                <w:szCs w:val="22"/>
                <w:lang w:val="id-ID"/>
              </w:rPr>
              <w:t>et al.</w:t>
            </w:r>
            <w:r w:rsidRPr="00B8059D">
              <w:rPr>
                <w:rFonts w:ascii="Trebuchet MS" w:eastAsia="Calibri" w:hAnsi="Trebuchet MS"/>
                <w:noProof/>
                <w:sz w:val="22"/>
                <w:szCs w:val="22"/>
                <w:lang w:val="id-ID"/>
              </w:rPr>
              <w:t xml:space="preserve"> (2025)</w:t>
            </w:r>
            <w:r w:rsidRPr="00B8059D">
              <w:rPr>
                <w:rFonts w:ascii="Trebuchet MS" w:eastAsia="Calibri" w:hAnsi="Trebuchet MS"/>
                <w:sz w:val="22"/>
                <w:szCs w:val="22"/>
                <w:lang w:val="id-ID"/>
              </w:rPr>
              <w:fldChar w:fldCharType="end"/>
            </w:r>
          </w:p>
        </w:tc>
        <w:tc>
          <w:tcPr>
            <w:tcW w:w="0" w:type="auto"/>
          </w:tcPr>
          <w:p w14:paraId="7BBB344D"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Tren dan Isu Dalam Manajemen SDM di Sektor Publik: Studi Literatur</w:t>
            </w:r>
          </w:p>
        </w:tc>
        <w:tc>
          <w:tcPr>
            <w:tcW w:w="0" w:type="auto"/>
          </w:tcPr>
          <w:p w14:paraId="57D27584"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Penelitian ini bertujuan untuk mengidentifikasi dan menganalisis tren serta isu strategis dalam manajemen sumber daya manusia (SDM) di sektor publik berdasarkan kajian literatur.</w:t>
            </w:r>
          </w:p>
        </w:tc>
        <w:tc>
          <w:tcPr>
            <w:tcW w:w="0" w:type="auto"/>
          </w:tcPr>
          <w:p w14:paraId="3FF3396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Menggunakan metode studi literatur sistematis dan pendekatan kualitatif-deskriptif, sebanyak 42 dokumen dianalisis menggunakan teknik analisis isi tematik.</w:t>
            </w:r>
          </w:p>
        </w:tc>
        <w:tc>
          <w:tcPr>
            <w:tcW w:w="0" w:type="auto"/>
          </w:tcPr>
          <w:p w14:paraId="70EEB05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Hasil penelitian menunjukkan enam tema dominan: digitalisasi, transformasi budaya organisasi, sistem merit, pengembangan kompetensi, sistem insentif, dan politisasi birokrasi. Digitalisasi dan pelatihan berbasis kompetensi menjadi tren paling menonjol, sementara intervensi politik dalam rekrutmen dan promosi jabatan menjadi isu kritis yang masih menghambat reformasi birokrasi.</w:t>
            </w:r>
          </w:p>
        </w:tc>
      </w:tr>
      <w:tr w:rsidR="001F7452" w:rsidRPr="008E7429" w14:paraId="56D7D186" w14:textId="77777777" w:rsidTr="004353B7">
        <w:tc>
          <w:tcPr>
            <w:tcW w:w="0" w:type="auto"/>
          </w:tcPr>
          <w:p w14:paraId="1E731EE1"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417454B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{"citationItems":[{"id":"ITEM-1","itemData":{"author":[{"dropping-particle":"","family":"Kesumah","given":"Priatna","non-dropping-particle":"","parse-names":false,"suffix":""}],"container-title":"JURNAL EKONOMI BISNIS DAN MANAJEMEN (EKO-BISMA)","id":"ITEM-1","issue":"1","issued":{"date-parts":[["2025"]]},"page":"358-364","title":"Pengaruh Employer Branding terhadap Minat Generasi Z dalam Memilih Tempat Kerja","type":"article-journal","volume":"4"},"uris":["http://www.mendeley.com/documents/?uuid=bacbe65f-0d6a-4480-ae1d-7884382db7d2"]}],"mendeley":{"formattedCitation":"(Kesumah 2025)","manualFormatting":"Kesumah (2025)","plainTextFormattedCitation":"(Kesumah 2025)","previouslyFormattedCitation":"(Kesumah 2025)"},"properties":{"noteIndex":0},"schema":"https://github.com/citation-style-language/schema/raw/master/csl-citation.json"}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Kesumah (2025)</w:t>
            </w:r>
            <w:r w:rsidRPr="00B8059D">
              <w:rPr>
                <w:rFonts w:ascii="Trebuchet MS" w:eastAsia="Calibri" w:hAnsi="Trebuchet MS"/>
                <w:sz w:val="22"/>
                <w:szCs w:val="22"/>
                <w:lang w:val="id-ID"/>
              </w:rPr>
              <w:fldChar w:fldCharType="end"/>
            </w:r>
          </w:p>
        </w:tc>
        <w:tc>
          <w:tcPr>
            <w:tcW w:w="0" w:type="auto"/>
          </w:tcPr>
          <w:p w14:paraId="26E3969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Pengaruh Employer Branding terhadap Minat Generasi Z dalam Memilih Tempat Kerja</w:t>
            </w:r>
          </w:p>
        </w:tc>
        <w:tc>
          <w:tcPr>
            <w:tcW w:w="0" w:type="auto"/>
          </w:tcPr>
          <w:p w14:paraId="04145CE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sv-SE"/>
              </w:rPr>
              <w:t xml:space="preserve">Penelitian ini bertujuan untuk menganalisis pengaruh </w:t>
            </w:r>
            <w:r w:rsidRPr="00B8059D">
              <w:rPr>
                <w:rFonts w:ascii="Trebuchet MS" w:eastAsia="Calibri" w:hAnsi="Trebuchet MS"/>
                <w:i/>
                <w:iCs/>
                <w:sz w:val="22"/>
                <w:szCs w:val="22"/>
                <w:lang w:val="sv-SE"/>
              </w:rPr>
              <w:t xml:space="preserve">employer branding </w:t>
            </w:r>
            <w:r w:rsidRPr="00B8059D">
              <w:rPr>
                <w:rFonts w:ascii="Trebuchet MS" w:eastAsia="Calibri" w:hAnsi="Trebuchet MS"/>
                <w:sz w:val="22"/>
                <w:szCs w:val="22"/>
                <w:lang w:val="sv-SE"/>
              </w:rPr>
              <w:t>terhadap minat Generasi Z dalam memilih tempat kerja serta mengidentifikasi elemen branding yang memiliki dampak paling signifikan.</w:t>
            </w:r>
          </w:p>
        </w:tc>
        <w:tc>
          <w:tcPr>
            <w:tcW w:w="0" w:type="auto"/>
          </w:tcPr>
          <w:p w14:paraId="1C3D8335"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Metode penelitian ini adalah pendekatan deskriptif kuantitatif dengan pengumpulan data melalui survei terhadap responden yang termasuk dalam kategori Generasi Z.</w:t>
            </w:r>
          </w:p>
        </w:tc>
        <w:tc>
          <w:tcPr>
            <w:tcW w:w="0" w:type="auto"/>
          </w:tcPr>
          <w:p w14:paraId="7EDF47F0"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penelitian menunjukkan bahwa </w:t>
            </w:r>
            <w:r w:rsidRPr="00B8059D">
              <w:rPr>
                <w:rFonts w:ascii="Trebuchet MS" w:eastAsia="Calibri" w:hAnsi="Trebuchet MS"/>
                <w:i/>
                <w:iCs/>
                <w:sz w:val="22"/>
                <w:szCs w:val="22"/>
                <w:lang w:val="id-ID"/>
              </w:rPr>
              <w:t>employer branding</w:t>
            </w:r>
            <w:r w:rsidRPr="00B8059D">
              <w:rPr>
                <w:rFonts w:ascii="Trebuchet MS" w:eastAsia="Calibri" w:hAnsi="Trebuchet MS"/>
                <w:sz w:val="22"/>
                <w:szCs w:val="22"/>
                <w:lang w:val="id-ID"/>
              </w:rPr>
              <w:t xml:space="preserve"> yang kuat meningkatkan daya tarik perusahaan dan memengaruhi keputusan Generasi Z dalam memilih tempat kerja. Faktor-faktor seperti fleksibilitas kerja, transparansi dalam jenjang karier, serta nilai perusahaan yang sesuai dengan ekspektasi mereka terbukti berperan besar dalam membentuk minat kerja.</w:t>
            </w:r>
          </w:p>
        </w:tc>
      </w:tr>
      <w:tr w:rsidR="001F7452" w:rsidRPr="008E7429" w14:paraId="7A160E19" w14:textId="77777777" w:rsidTr="004353B7">
        <w:tc>
          <w:tcPr>
            <w:tcW w:w="0" w:type="auto"/>
          </w:tcPr>
          <w:p w14:paraId="308DEDF4"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4FEE6F2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{"citationItems":[{"id":"ITEM-1","itemData":{"DOI":"10.54371/jiip.v7i7.4738","abstract":"Minat generasi Z terhadap menjadi Aparatur Sipil Negara (ASN) di Indonesia menurun dalam lima tahun terakhir, disebabkan oleh perubahan paradigma terhadap jam kerja yang rigid dan kurangnya inovasi di beberapa instansi sektor publik. Fleksibilitas kerja dan penerapan teknologi informasi menjadi faktor penting dalam menarik minat generasi Z terhadap pekerjaan. Studi ini menyoroti urgensi penerapan Flexible Work Arrangement (FWA) sebagai kebijakan untuk meningkatkan minat generasi Z menjadi ASN, sejalan dengan upaya pemerintah dalam meningkatkan produktivitas dan kesejahteraan pegawai sektor publik. Melalui pendekatan kualitatif dan metode studi pustaka, penelitian ini memahami permasalahan yang dihadapi dan memberikan rekomendasi kebijakan untuk mendukung perencanaan karier generasi Z dalam mewujudkan SDM unggul untuk Indonesia maju.","author":[{"dropping-particle":"","family":"Prasasti","given":"Alikha Novanka","non-dropping-particle":"","parse-names":false,"suffix":""},{"dropping-particle":"","family":"Ramadhan","given":"Dwi","non-dropping-particle":"","parse-names":false,"suffix":""},{"dropping-particle":"","family":"Br Surbakti","given":"Melisa","non-dropping-particle":"","parse-names":false,"suffix":""}],"container-title":"JIIP - Jurnal Ilmiah Ilmu Pendidikan","id":"ITEM-1","issue":"7","issued":{"date-parts":[["2024"]]},"page":"6855-6864","title":"Analisis Penerapan Praktik Flexibility Working Arrangement (FWA) dalam Peningkatan Minat Generasi Z Menjadi Aparatur Sipil Negara","type":"article-journal","volume":"7"},"uris":["http://www.mendeley.com/documents/?uuid=1d53bf96-230f-404b-85a0-2374bcf26683"]}],"mendeley":{"formattedCitation":"(Prasasti, Ramadhan, and Br Surbakti 2024)","manualFormatting":"Prasasti, Ramadhan, dan Surbakti (2024)","plainTextFormattedCitation":"(Prasasti, Ramadhan, and Br Surbakti 2024)","previouslyFormattedCitation":"(Prasasti, Ramadhan, and Br Surbakti 2024)"},"properties":{"noteIndex":0},"schema":"https://github.com/citation-style-language/schema/raw/master/csl-citation.json"}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Prasasti, Ramadhan, dan Surbakti (2024)</w:t>
            </w:r>
            <w:r w:rsidRPr="00B8059D">
              <w:rPr>
                <w:rFonts w:ascii="Trebuchet MS" w:eastAsia="Calibri" w:hAnsi="Trebuchet MS"/>
                <w:sz w:val="22"/>
                <w:szCs w:val="22"/>
                <w:lang w:val="id-ID"/>
              </w:rPr>
              <w:fldChar w:fldCharType="end"/>
            </w:r>
          </w:p>
        </w:tc>
        <w:tc>
          <w:tcPr>
            <w:tcW w:w="0" w:type="auto"/>
          </w:tcPr>
          <w:p w14:paraId="092BDA68"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Analisis Penerapan Praktik Flexibility Working Arrangement (FWA) dalam Peningkatan Minat Generasi Z Menjadi Aparatur Sipil Negara</w:t>
            </w:r>
          </w:p>
        </w:tc>
        <w:tc>
          <w:tcPr>
            <w:tcW w:w="0" w:type="auto"/>
          </w:tcPr>
          <w:p w14:paraId="72667F1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Tujuan penelitian ini adalah untuk menganalisis penerapan </w:t>
            </w:r>
            <w:r w:rsidRPr="00B8059D">
              <w:rPr>
                <w:rFonts w:ascii="Trebuchet MS" w:eastAsia="Calibri" w:hAnsi="Trebuchet MS"/>
                <w:i/>
                <w:iCs/>
                <w:sz w:val="22"/>
                <w:szCs w:val="22"/>
                <w:lang w:val="id-ID"/>
              </w:rPr>
              <w:t>Flexible Work Arrangement</w:t>
            </w:r>
            <w:r w:rsidRPr="00B8059D">
              <w:rPr>
                <w:rFonts w:ascii="Trebuchet MS" w:eastAsia="Calibri" w:hAnsi="Trebuchet MS"/>
                <w:sz w:val="22"/>
                <w:szCs w:val="22"/>
                <w:lang w:val="id-ID"/>
              </w:rPr>
              <w:t xml:space="preserve"> (FWA) dalam meningkatkan minat generasi Z menjadi Aparatur Sipil Negara, serta memberikan rekomendasi kebijakan yang mendukung perencanaan karier generasi Z demi terciptanya sumber daya manusia unggul untuk kemajuan Indonesia.</w:t>
            </w:r>
          </w:p>
        </w:tc>
        <w:tc>
          <w:tcPr>
            <w:tcW w:w="0" w:type="auto"/>
          </w:tcPr>
          <w:p w14:paraId="6125FE0D"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Melalui pendekatan kualitatif dan metode studi pustaka.</w:t>
            </w:r>
          </w:p>
        </w:tc>
        <w:tc>
          <w:tcPr>
            <w:tcW w:w="0" w:type="auto"/>
          </w:tcPr>
          <w:p w14:paraId="09902632"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Penerapan </w:t>
            </w:r>
            <w:r w:rsidRPr="00B8059D">
              <w:rPr>
                <w:rFonts w:ascii="Trebuchet MS" w:eastAsia="Calibri" w:hAnsi="Trebuchet MS"/>
                <w:i/>
                <w:iCs/>
                <w:sz w:val="22"/>
                <w:szCs w:val="22"/>
                <w:lang w:val="id-ID"/>
              </w:rPr>
              <w:t>Flexible Working Arrangement</w:t>
            </w:r>
            <w:r w:rsidRPr="00B8059D">
              <w:rPr>
                <w:rFonts w:ascii="Trebuchet MS" w:eastAsia="Calibri" w:hAnsi="Trebuchet MS"/>
                <w:sz w:val="22"/>
                <w:szCs w:val="22"/>
                <w:lang w:val="id-ID"/>
              </w:rPr>
              <w:t xml:space="preserve"> (FWA) memberikan dampak positif seperti peningkatan motivasi, kinerja, produktivitas, dan kesejahteraan pegawai, terutama Generasi Z. FWA membantu menyeimbangkan kehidupan kerja dan pribadi, meningkatkan kedisiplinan, inovasi, serta komitmen terhadap organisasi. Selain itu, penerapan FWA dapat meningkatkan </w:t>
            </w:r>
            <w:r w:rsidRPr="00B8059D">
              <w:rPr>
                <w:rFonts w:ascii="Trebuchet MS" w:eastAsia="Calibri" w:hAnsi="Trebuchet MS"/>
                <w:sz w:val="22"/>
                <w:szCs w:val="22"/>
                <w:lang w:val="id-ID"/>
              </w:rPr>
              <w:lastRenderedPageBreak/>
              <w:t xml:space="preserve">minat generasi muda berkarier di sektor publik dan mendukung </w:t>
            </w:r>
            <w:r w:rsidRPr="00B8059D">
              <w:rPr>
                <w:rFonts w:ascii="Trebuchet MS" w:eastAsia="Calibri" w:hAnsi="Trebuchet MS"/>
                <w:i/>
                <w:iCs/>
                <w:sz w:val="22"/>
                <w:szCs w:val="22"/>
                <w:lang w:val="id-ID"/>
              </w:rPr>
              <w:t xml:space="preserve">public value </w:t>
            </w:r>
            <w:r w:rsidRPr="00B8059D">
              <w:rPr>
                <w:rFonts w:ascii="Trebuchet MS" w:eastAsia="Calibri" w:hAnsi="Trebuchet MS"/>
                <w:sz w:val="22"/>
                <w:szCs w:val="22"/>
                <w:lang w:val="id-ID"/>
              </w:rPr>
              <w:t>yang lebih baik.</w:t>
            </w:r>
          </w:p>
        </w:tc>
      </w:tr>
      <w:tr w:rsidR="001F7452" w:rsidRPr="008E7429" w14:paraId="5350D8B9" w14:textId="77777777" w:rsidTr="004353B7">
        <w:tc>
          <w:tcPr>
            <w:tcW w:w="0" w:type="auto"/>
          </w:tcPr>
          <w:p w14:paraId="3B27CF4A"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01482D9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Amalia </w:t>
            </w:r>
            <w:r w:rsidRPr="00B8059D">
              <w:rPr>
                <w:rFonts w:ascii="Trebuchet MS" w:eastAsia="Calibri" w:hAnsi="Trebuchet MS"/>
                <w:i/>
                <w:iCs/>
                <w:sz w:val="22"/>
                <w:szCs w:val="22"/>
                <w:lang w:val="id-ID"/>
              </w:rPr>
              <w:t>et al</w:t>
            </w:r>
            <w:r w:rsidRPr="00B8059D">
              <w:rPr>
                <w:rFonts w:ascii="Trebuchet MS" w:eastAsia="Calibri" w:hAnsi="Trebuchet MS"/>
                <w:sz w:val="22"/>
                <w:szCs w:val="22"/>
                <w:lang w:val="id-ID"/>
              </w:rPr>
              <w:t>. (2025)</w:t>
            </w:r>
          </w:p>
        </w:tc>
        <w:tc>
          <w:tcPr>
            <w:tcW w:w="0" w:type="auto"/>
          </w:tcPr>
          <w:p w14:paraId="490AB0CF"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Faktor-faktor yang Memengaruhi Minat Generasi Muda Bekerja di Sektor Publik</w:t>
            </w:r>
          </w:p>
        </w:tc>
        <w:tc>
          <w:tcPr>
            <w:tcW w:w="0" w:type="auto"/>
          </w:tcPr>
          <w:p w14:paraId="3A2DC7B2"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Tujuan penelitian ini untuk menguji pengaruh employer branding, lingkungan kerja, dan etos kerja terhadap minat generasi muda bekerja di sektor publik</w:t>
            </w:r>
          </w:p>
        </w:tc>
        <w:tc>
          <w:tcPr>
            <w:tcW w:w="0" w:type="auto"/>
          </w:tcPr>
          <w:p w14:paraId="0952DC72"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Menggunakan pendekatan kuantitatif dengan teknik survei terhadap 137 responden. Analisis dilakukan dengan regresi linear berganda pada aplikasi SPSS.</w:t>
            </w:r>
          </w:p>
        </w:tc>
        <w:tc>
          <w:tcPr>
            <w:tcW w:w="0" w:type="auto"/>
          </w:tcPr>
          <w:p w14:paraId="4ADFC0A7"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menyimpulkan  bahwa  </w:t>
            </w:r>
            <w:r w:rsidRPr="00B8059D">
              <w:rPr>
                <w:rFonts w:ascii="Trebuchet MS" w:eastAsia="Calibri" w:hAnsi="Trebuchet MS"/>
                <w:i/>
                <w:iCs/>
                <w:sz w:val="22"/>
                <w:szCs w:val="22"/>
                <w:lang w:val="id-ID"/>
              </w:rPr>
              <w:t>employer  branding</w:t>
            </w:r>
            <w:r w:rsidRPr="00B8059D">
              <w:rPr>
                <w:rFonts w:ascii="Trebuchet MS" w:eastAsia="Calibri" w:hAnsi="Trebuchet MS"/>
                <w:sz w:val="22"/>
                <w:szCs w:val="22"/>
                <w:lang w:val="id-ID"/>
              </w:rPr>
              <w:t>,  lingkungan  kerja,  dan etos  kerja  berpengaruh positif signifikan terhadap minat generasi muda bekerja di sektor publik.</w:t>
            </w:r>
          </w:p>
          <w:p w14:paraId="04EEAC33" w14:textId="77777777" w:rsidR="00B8059D" w:rsidRPr="00B8059D" w:rsidRDefault="00B8059D" w:rsidP="00B8059D">
            <w:pPr>
              <w:spacing w:after="160" w:line="278" w:lineRule="auto"/>
              <w:jc w:val="both"/>
              <w:rPr>
                <w:rFonts w:ascii="Trebuchet MS" w:eastAsia="Calibri" w:hAnsi="Trebuchet MS"/>
                <w:sz w:val="22"/>
                <w:szCs w:val="22"/>
                <w:lang w:val="id-ID"/>
              </w:rPr>
            </w:pPr>
          </w:p>
        </w:tc>
      </w:tr>
      <w:tr w:rsidR="001F7452" w:rsidRPr="008E7429" w14:paraId="43596EA5" w14:textId="77777777" w:rsidTr="004353B7">
        <w:tc>
          <w:tcPr>
            <w:tcW w:w="0" w:type="auto"/>
          </w:tcPr>
          <w:p w14:paraId="5F9713E3"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41E2CDC5"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{"citationItems":[{"id":"ITEM-1","itemData":{"author":[{"dropping-particle":"","family":"Firdauzi","given":"Ali Muhammad","non-dropping-particle":"","parse-names":false,"suffix":""},{"dropping-particle":"","family":"Dzaky Syauqi Ariesya","given":"","non-dropping-particle":"","parse-names":false,"suffix":""},{"dropping-particle":"","family":"Ramadhani","given":"Nandita","non-dropping-particle":"","parse-names":false,"suffix":""},{"dropping-particle":"","family":"Situmorang","given":"Santyka","non-dropping-particle":"","parse-names":false,"suffix":""}],"id":"ITEM-1","issued":{"date-parts":[["2025"]]},"title":"Pengaruh Persepsi Stabilitas Kerja, Lingkungan Sosial, dan Citra Pemerintah terhadap Minat Mahasiswa Gen Z Menjadi Aparatur Sipil Negara","type":"thesis"},"uris":["http://www.mendeley.com/documents/?uuid=4fb40ff8-f567-44c7-9a3f-ba45b99df451"]}],"mendeley":{"formattedCitation":"(Firdauzi et al. 2025)","manualFormatting":"Firdauzi et al. (2025)","plainTextFormattedCitation":"(Firdauzi et al. 2025)","previouslyFormattedCitation":"(Firdauzi et al. 2025)"},"properties":{"noteIndex":0},"schema":"https://github.com/citation-style-language/schema/raw/master/csl-citation.json"}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 xml:space="preserve">Firdauzi </w:t>
            </w:r>
            <w:r w:rsidRPr="00B8059D">
              <w:rPr>
                <w:rFonts w:ascii="Trebuchet MS" w:eastAsia="Calibri" w:hAnsi="Trebuchet MS"/>
                <w:i/>
                <w:iCs/>
                <w:noProof/>
                <w:sz w:val="22"/>
                <w:szCs w:val="22"/>
                <w:lang w:val="id-ID"/>
              </w:rPr>
              <w:t>et al.</w:t>
            </w:r>
            <w:r w:rsidRPr="00B8059D">
              <w:rPr>
                <w:rFonts w:ascii="Trebuchet MS" w:eastAsia="Calibri" w:hAnsi="Trebuchet MS"/>
                <w:noProof/>
                <w:sz w:val="22"/>
                <w:szCs w:val="22"/>
                <w:lang w:val="id-ID"/>
              </w:rPr>
              <w:t xml:space="preserve"> (2025)</w:t>
            </w:r>
            <w:r w:rsidRPr="00B8059D">
              <w:rPr>
                <w:rFonts w:ascii="Trebuchet MS" w:eastAsia="Calibri" w:hAnsi="Trebuchet MS"/>
                <w:sz w:val="22"/>
                <w:szCs w:val="22"/>
                <w:lang w:val="id-ID"/>
              </w:rPr>
              <w:fldChar w:fldCharType="end"/>
            </w:r>
          </w:p>
        </w:tc>
        <w:tc>
          <w:tcPr>
            <w:tcW w:w="0" w:type="auto"/>
          </w:tcPr>
          <w:p w14:paraId="34FCE465"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Pengaruh Persepsi Stabilitas Kerja, Lingkungan Sosial, dan Citra Pemerintah terhadap Minat Mahasiswa Gen Z Menjadi Aparatur Sipil Negara</w:t>
            </w:r>
          </w:p>
        </w:tc>
        <w:tc>
          <w:tcPr>
            <w:tcW w:w="0" w:type="auto"/>
          </w:tcPr>
          <w:p w14:paraId="64D2CAC2"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sv-SE"/>
              </w:rPr>
              <w:t>Tujuan penelitian ini untuk menganalisis pengaruh persepsi stabilitas kerja, lingkungan sosial, dan citra pemerintah terhadap minat mahasiswa Generasi Z menjadi Aparatur Sipil Negara (ASN).</w:t>
            </w:r>
          </w:p>
        </w:tc>
        <w:tc>
          <w:tcPr>
            <w:tcW w:w="0" w:type="auto"/>
          </w:tcPr>
          <w:p w14:paraId="05B96D0A"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Metode penelitian yang digunakan adalah kuantitatif dengan pendekatan survei melalui penyebaran kuesioner kepada 71 responden yang merupakan mahasiswa dari berbagai perguruan tinggi di Indonesia.</w:t>
            </w:r>
          </w:p>
        </w:tc>
        <w:tc>
          <w:tcPr>
            <w:tcW w:w="0" w:type="auto"/>
          </w:tcPr>
          <w:p w14:paraId="3598D61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Hasil penelitian menunjukkan bahwa persepsi terhadap stabilitas kerja dan citra pemerintah berpengaruh signifikan terhadap minat mahasiswa Gen Z menjadi Aparatur Sipil Negara (ASN), sementara pengaruh lingkungan sosial tidak menunjukkan signifikansi yang kuat.</w:t>
            </w:r>
          </w:p>
        </w:tc>
      </w:tr>
      <w:tr w:rsidR="001F7452" w:rsidRPr="008E7429" w14:paraId="7FA08F08" w14:textId="77777777" w:rsidTr="004353B7">
        <w:tc>
          <w:tcPr>
            <w:tcW w:w="0" w:type="auto"/>
          </w:tcPr>
          <w:p w14:paraId="58F67E51"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0358C31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{"citationItems":[{"id":"ITEM-1","itemData":{"author":[{"dropping-particle":"","family":"Fanani","given":"Muh Asdig","non-dropping-particle":"","parse-names":false,"suffix":""},{"dropping-particle":"","family":"Jannah","given":"Lina Miftahul","non-dropping-particle":"","parse-names":false,"suffix":""}],"container-title":"Jurnal Pemerintahan dan Politik","id":"ITEM-1","issue":"4","issued":{"date-parts":[["2025"]]},"page":"779-796","title":"Perencanaan Sumber Daya Manusia Sektor Publik : Strategi Adaptif untuk Generasi Milenial dan Z","type":"article-journal","volume":"10"},"uris":["http://www.mendeley.com/documents/?uuid=def0d423-5473-448a-a0a9-e4701477cbdf"]}],"mendeley":{"formattedCitation":"(Fanani and Jannah 2025)","manualFormatting":"Fanani dan Jannah (2025)","plainTextFormattedCitation":"(Fanani and Jannah 2025)","previouslyFormattedCitation":"(Fanani and Jannah 2025)"},"properties":{"noteIndex":0},"schema":"https://github.com/citation-style-language/schema/raw/master/csl-citation.json"}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Fanani dan Jannah (2025)</w:t>
            </w:r>
            <w:r w:rsidRPr="00B8059D">
              <w:rPr>
                <w:rFonts w:ascii="Trebuchet MS" w:eastAsia="Calibri" w:hAnsi="Trebuchet MS"/>
                <w:sz w:val="22"/>
                <w:szCs w:val="22"/>
                <w:lang w:val="id-ID"/>
              </w:rPr>
              <w:fldChar w:fldCharType="end"/>
            </w:r>
          </w:p>
        </w:tc>
        <w:tc>
          <w:tcPr>
            <w:tcW w:w="0" w:type="auto"/>
          </w:tcPr>
          <w:p w14:paraId="7F4219A1"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Perencanaan Sumber Daya Manusia Sektor Publik: Strategi Adaptif untuk Generasi Milenial dan Z</w:t>
            </w:r>
          </w:p>
        </w:tc>
        <w:tc>
          <w:tcPr>
            <w:tcW w:w="0" w:type="auto"/>
          </w:tcPr>
          <w:p w14:paraId="25DE3D7C"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Penelitian ini bertujuan untuk mengkaji karakteristik generasi milenial dan Z dalam ASN Indonesia, menganalisis peluang dan </w:t>
            </w:r>
            <w:r w:rsidRPr="00B8059D">
              <w:rPr>
                <w:rFonts w:ascii="Trebuchet MS" w:eastAsia="Calibri" w:hAnsi="Trebuchet MS"/>
                <w:sz w:val="22"/>
                <w:szCs w:val="22"/>
                <w:lang w:val="id-ID"/>
              </w:rPr>
              <w:lastRenderedPageBreak/>
              <w:t>tantangan rekrutmen serta retensi, serta  mengevaluasi  kebijakan  Smart  ASN  untuk  merumuskan  strategi pengelolaan   SDM   adaptif   mendukung   reformasi   birokrasi.</w:t>
            </w:r>
          </w:p>
        </w:tc>
        <w:tc>
          <w:tcPr>
            <w:tcW w:w="0" w:type="auto"/>
          </w:tcPr>
          <w:p w14:paraId="59E98B99"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lastRenderedPageBreak/>
              <w:t xml:space="preserve">Metode penelitian yang digunakan adalah kualitatif  deskriptif  dengan  studi  literatur  sistematis  digunakan  untuk analisis data sekunder dari </w:t>
            </w:r>
            <w:r w:rsidRPr="00B8059D">
              <w:rPr>
                <w:rFonts w:ascii="Trebuchet MS" w:eastAsia="Calibri" w:hAnsi="Trebuchet MS"/>
                <w:sz w:val="22"/>
                <w:szCs w:val="22"/>
                <w:lang w:val="id-ID"/>
              </w:rPr>
              <w:lastRenderedPageBreak/>
              <w:t>dokumen pemerintah dan literatur akademik terkait manajemen   SDM,teori   generasi,   dan   Smart   ASN.</w:t>
            </w:r>
          </w:p>
        </w:tc>
        <w:tc>
          <w:tcPr>
            <w:tcW w:w="0" w:type="auto"/>
          </w:tcPr>
          <w:p w14:paraId="6F9D4658"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lastRenderedPageBreak/>
              <w:t xml:space="preserve">Hasil menunjukkan  kebutuhan  pengelolaan  SDM  yang  responsif  terhadap karakter  unik  tiap  generasi,  meliputi  kerja  fleksibel,  pelatihan  digital berbasis   </w:t>
            </w:r>
            <w:r w:rsidRPr="00B8059D">
              <w:rPr>
                <w:rFonts w:ascii="Trebuchet MS" w:eastAsia="Calibri" w:hAnsi="Trebuchet MS"/>
                <w:sz w:val="22"/>
                <w:szCs w:val="22"/>
                <w:lang w:val="id-ID"/>
              </w:rPr>
              <w:lastRenderedPageBreak/>
              <w:t>teknologi   seperti   kecerdasan   buatan   dan   gamifikasi,   serta kepemimpinan   transformasional.   Meskipun   kebijakan   Smart   ASN mempercepat   transformasi   birokrasi,   tantangan   seperti   kesenjangan literasi digital dan resistensi budaya harus diatasi.</w:t>
            </w:r>
          </w:p>
        </w:tc>
      </w:tr>
      <w:tr w:rsidR="001F7452" w:rsidRPr="008E7429" w14:paraId="0E094B9D" w14:textId="77777777" w:rsidTr="004353B7">
        <w:tc>
          <w:tcPr>
            <w:tcW w:w="0" w:type="auto"/>
          </w:tcPr>
          <w:p w14:paraId="4D9C29DB"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7AFE8B73"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{"citationItems":[{"id":"ITEM-1","itemData":{"DOI":"10.59188/jurnalsosains.v5i7.32394","ISSN":"2774-7018","abstract":"Era birokrasi modern menuntut tata kelola sumber daya manusia yang adaptif terhadap perubahan zaman, terutama dalam menghadapi hadirnya ASN generasi muda yang akan mengambil alih kepemimpinan di masa depan. Kajian ini bertujuan untuk menganalisis tantangan pengelolaan ASN muda di instansi pemerintah dengan menggunakan pendekatan narrative literature review terhadap sembilan artikel ilmiah yang relevan. Hasil kajian mengidentifikasi bahwa ketidaksesuaian antara sistem birokrasi yang masih hierarkis, kaku, dan formal dengan nilai-nilai Generasi Z dan milenial menjadi hambatan utama dalam optimalisasi peran mereka. Tiga aspek utama menjadi perhatian: kepemimpinan yang belum transformatif, sistem kerja yang belum fleksibel, dan budaya organisasi yang belum inklusif terhadap perbedaan preferensi antar generasi. Kajian ini juga menyoroti perlunya langkah strategis yang bersifat kolaboratif dan berorientasi pada nilai, melalui penguatan sistem merit, implementasi Smart ASN, serta penciptaan iklim kerja yang mampu menjembatani gap antar generasi. Hasil kajian ini diharapkan dapat memberikan kontribusi konseptual bagi penguatan manajemen talenta ASN serta mendukung arah reformasi birokrasi menuju birokrasi yang dinamis, adaptif, dan humanistik.","author":[{"dropping-particle":"","family":"Pambudi","given":"Aula","non-dropping-particle":"","parse-names":false,"suffix":""}],"container-title":"Jurnal sosial dan sains","id":"ITEM-1","issue":"7","issued":{"date-parts":[["2025"]]},"page":"2317-2329","title":"Persimpangan Generasi dalam Birokrasi: Dinamika dan Tantangan Pengelolaan ASN Muda","type":"article-journal","volume":"5"},"uris":["http://www.mendeley.com/documents/?uuid=a4e93f50-d853-41b3-9723-6b5e8472368b"]}],"mendeley":{"formattedCitation":"(Pambudi 2025)","manualFormatting":"Pambudi (2025)","plainTextFormattedCitation":"(Pambudi 2025)","previouslyFormattedCitation":"(Pambudi 2025)"},"properties":{"noteIndex":0},"schema":"https://github.com/citation-style-language/schema/raw/master/csl-citation.json"}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Pambudi (2025)</w:t>
            </w:r>
            <w:r w:rsidRPr="00B8059D">
              <w:rPr>
                <w:rFonts w:ascii="Trebuchet MS" w:eastAsia="Calibri" w:hAnsi="Trebuchet MS"/>
                <w:sz w:val="22"/>
                <w:szCs w:val="22"/>
                <w:lang w:val="id-ID"/>
              </w:rPr>
              <w:fldChar w:fldCharType="end"/>
            </w:r>
          </w:p>
        </w:tc>
        <w:tc>
          <w:tcPr>
            <w:tcW w:w="0" w:type="auto"/>
          </w:tcPr>
          <w:p w14:paraId="1238B344"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Persimpangan Generasi dalam Birokrasi: Dinamika dan Tantangan Pengelolaan ASN Muda</w:t>
            </w:r>
          </w:p>
        </w:tc>
        <w:tc>
          <w:tcPr>
            <w:tcW w:w="0" w:type="auto"/>
          </w:tcPr>
          <w:p w14:paraId="2441EE2E"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sv-SE"/>
              </w:rPr>
              <w:t>Penelitian ini bertujuan untuk menganalisis tantangan pengelolaan ASN muda di instansi pemerintah.</w:t>
            </w:r>
          </w:p>
        </w:tc>
        <w:tc>
          <w:tcPr>
            <w:tcW w:w="0" w:type="auto"/>
          </w:tcPr>
          <w:p w14:paraId="105B1037"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Metode penelitian ini menggunakan pendekatan </w:t>
            </w:r>
            <w:r w:rsidRPr="00B8059D">
              <w:rPr>
                <w:rFonts w:ascii="Trebuchet MS" w:eastAsia="Calibri" w:hAnsi="Trebuchet MS"/>
                <w:i/>
                <w:iCs/>
                <w:sz w:val="22"/>
                <w:szCs w:val="22"/>
                <w:lang w:val="id-ID"/>
              </w:rPr>
              <w:t>narrative literature review</w:t>
            </w:r>
            <w:r w:rsidRPr="00B8059D">
              <w:rPr>
                <w:rFonts w:ascii="Trebuchet MS" w:eastAsia="Calibri" w:hAnsi="Trebuchet MS"/>
                <w:sz w:val="22"/>
                <w:szCs w:val="22"/>
                <w:lang w:val="id-ID"/>
              </w:rPr>
              <w:t xml:space="preserve"> terhadap sembilan artikel ilmiah yang relevan.</w:t>
            </w:r>
          </w:p>
        </w:tc>
        <w:tc>
          <w:tcPr>
            <w:tcW w:w="0" w:type="auto"/>
          </w:tcPr>
          <w:p w14:paraId="1089B59F"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penelitian ini mengidentifikasi bahwa ketidaksesuaian antara sistem birokrasi yang masih hierarkis, kaku, dan formal dengan nilai-nilai Generasi Z dan milenial menjadi hambatan utama dalam optimalisasi peran mereka. Tiga aspek utama menjadi perhatian: kepemimpinan yang belum transformatif, sistem kerja yang belum fleksibel, dan budaya organisasi yang belum inklusif terhadap perbedaan preferensi antar generasi. Kajian ini juga menyoroti perlunya langkah strategis yang bersifat kolaboratif </w:t>
            </w:r>
            <w:r w:rsidRPr="00B8059D">
              <w:rPr>
                <w:rFonts w:ascii="Trebuchet MS" w:eastAsia="Calibri" w:hAnsi="Trebuchet MS"/>
                <w:sz w:val="22"/>
                <w:szCs w:val="22"/>
                <w:lang w:val="id-ID"/>
              </w:rPr>
              <w:lastRenderedPageBreak/>
              <w:t>dan berorientasi pada nilai, melalui penguatan sistem merit, implementasi Smart ASN, serta penciptaan iklim kerja yang mampu menjembatani gap antar generasi.</w:t>
            </w:r>
          </w:p>
        </w:tc>
      </w:tr>
      <w:tr w:rsidR="001F7452" w:rsidRPr="008E7429" w14:paraId="733F5319" w14:textId="77777777" w:rsidTr="004353B7">
        <w:tc>
          <w:tcPr>
            <w:tcW w:w="0" w:type="auto"/>
          </w:tcPr>
          <w:p w14:paraId="15A67804" w14:textId="77777777" w:rsidR="00B8059D" w:rsidRPr="00B8059D" w:rsidRDefault="00B8059D" w:rsidP="00B8059D">
            <w:pPr>
              <w:numPr>
                <w:ilvl w:val="0"/>
                <w:numId w:val="4"/>
              </w:numPr>
              <w:spacing w:after="160" w:line="278" w:lineRule="auto"/>
              <w:contextualSpacing/>
              <w:jc w:val="center"/>
              <w:rPr>
                <w:rFonts w:ascii="Trebuchet MS" w:eastAsia="Calibri" w:hAnsi="Trebuchet MS"/>
                <w:sz w:val="22"/>
                <w:szCs w:val="22"/>
                <w:lang w:val="id-ID"/>
              </w:rPr>
            </w:pPr>
          </w:p>
        </w:tc>
        <w:tc>
          <w:tcPr>
            <w:tcW w:w="0" w:type="auto"/>
          </w:tcPr>
          <w:p w14:paraId="2E56EAD9"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fldChar w:fldCharType="begin" w:fldLock="1"/>
            </w:r>
            <w:r w:rsidRPr="00B8059D">
              <w:rPr>
                <w:rFonts w:ascii="Trebuchet MS" w:eastAsia="Calibri" w:hAnsi="Trebuchet MS"/>
                <w:sz w:val="22"/>
                <w:szCs w:val="22"/>
                <w:lang w:val="id-ID"/>
              </w:rPr>
              <w:instrText>ADDIN CSL_CITATION {"citationItems":[{"id":"ITEM-1","itemData":{"DOI":"10.31845/jwk.v25i2.742","ISSN":"1411-4917","abstract":"Focus of this research was to describe of talent management in public sector, especially influencing factors, challenges, and strategies. This research applied descriptive qualitative analysis by combining library research and examining secondary data. There were four factors that played as influence, challenge, and strategy in talent management implementation for public sector, i.e. (1) cultural, (2) human resource, (3) managerial/structural, and 4) environmental. Cultural factor included making sustainable talent management. Human resource included capability, passion, and program performance measurement. Managerial factor included leadership, organizational commitment, and activists were needed in implementing TM consistently. Environmental factor included regulation, budget, and political support on the national scale.","author":[{"dropping-particle":"","family":"Seno","given":"Ramadhani Haryo","non-dropping-particle":"","parse-names":false,"suffix":""}],"container-title":"Jurnal Wacana Kinerja","id":"ITEM-1","issue":"2","issued":{"date-parts":[["2022"]]},"page":"159-184","title":"Menuju Manajemen Talenta Sektor Publik: Faktor yang Memengaruhi, Tantangan, dan Strategi","type":"article-journal","volume":"25"},"uris":["http://www.mendeley.com/documents/?uuid=9932dd32-a550-4cfc-8743-1eba61fb2324"]}],"mendeley":{"formattedCitation":"(Seno 2022)","manualFormatting":"Seno (2022)","plainTextFormattedCitation":"(Seno 2022)","previouslyFormattedCitation":"(Seno 2022)"},"properties":{"noteIndex":0},"schema":"https://github.com/citation-style-language/schema/raw/master/csl-citation.json"}</w:instrText>
            </w:r>
            <w:r w:rsidRPr="00B8059D">
              <w:rPr>
                <w:rFonts w:ascii="Trebuchet MS" w:eastAsia="Calibri" w:hAnsi="Trebuchet MS"/>
                <w:sz w:val="22"/>
                <w:szCs w:val="22"/>
                <w:lang w:val="id-ID"/>
              </w:rPr>
              <w:fldChar w:fldCharType="separate"/>
            </w:r>
            <w:r w:rsidRPr="00B8059D">
              <w:rPr>
                <w:rFonts w:ascii="Trebuchet MS" w:eastAsia="Calibri" w:hAnsi="Trebuchet MS"/>
                <w:noProof/>
                <w:sz w:val="22"/>
                <w:szCs w:val="22"/>
                <w:lang w:val="id-ID"/>
              </w:rPr>
              <w:t>Seno (2022)</w:t>
            </w:r>
            <w:r w:rsidRPr="00B8059D">
              <w:rPr>
                <w:rFonts w:ascii="Trebuchet MS" w:eastAsia="Calibri" w:hAnsi="Trebuchet MS"/>
                <w:sz w:val="22"/>
                <w:szCs w:val="22"/>
                <w:lang w:val="id-ID"/>
              </w:rPr>
              <w:fldChar w:fldCharType="end"/>
            </w:r>
          </w:p>
        </w:tc>
        <w:tc>
          <w:tcPr>
            <w:tcW w:w="0" w:type="auto"/>
          </w:tcPr>
          <w:p w14:paraId="577C65EA"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Menuju Manajemen Talenta Sektor Publik: Faktor yang Memengaruhi, Tantangan, dan Strategi</w:t>
            </w:r>
          </w:p>
        </w:tc>
        <w:tc>
          <w:tcPr>
            <w:tcW w:w="0" w:type="auto"/>
          </w:tcPr>
          <w:p w14:paraId="5A5EAF1A"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Penelitian ini bertujuan untuk menggambarkan konsep Manajemen Talenta (MT) sektor publik dan faktor yang memengaruhi tantangan dan strategi.</w:t>
            </w:r>
          </w:p>
        </w:tc>
        <w:tc>
          <w:tcPr>
            <w:tcW w:w="0" w:type="auto"/>
          </w:tcPr>
          <w:p w14:paraId="7D706444"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Teknik analisis data yang digunakan adalah  analisis deskriptif kualitatif dengan mengombinasikan penelitian kepustakaan dan menelaah data sekunder sebagai metode pengumpulan data.</w:t>
            </w:r>
          </w:p>
        </w:tc>
        <w:tc>
          <w:tcPr>
            <w:tcW w:w="0" w:type="auto"/>
          </w:tcPr>
          <w:p w14:paraId="5BC36D27" w14:textId="77777777" w:rsidR="00B8059D" w:rsidRPr="00B8059D" w:rsidRDefault="00B8059D" w:rsidP="00B8059D">
            <w:pPr>
              <w:spacing w:after="160" w:line="278" w:lineRule="auto"/>
              <w:jc w:val="both"/>
              <w:rPr>
                <w:rFonts w:ascii="Trebuchet MS" w:eastAsia="Calibri" w:hAnsi="Trebuchet MS"/>
                <w:sz w:val="22"/>
                <w:szCs w:val="22"/>
                <w:lang w:val="id-ID"/>
              </w:rPr>
            </w:pPr>
            <w:r w:rsidRPr="00B8059D">
              <w:rPr>
                <w:rFonts w:ascii="Trebuchet MS" w:eastAsia="Calibri" w:hAnsi="Trebuchet MS"/>
                <w:sz w:val="22"/>
                <w:szCs w:val="22"/>
                <w:lang w:val="id-ID"/>
              </w:rPr>
              <w:t xml:space="preserve">Hasil dari penelitian ini ialah teridentifikasi empat hal yang berperan sebagai faktor yang memengaruhi, tantangan atau hambatan, serta strategi yang dapat digunakan dalam penerapan manajemen talenta sektor publik, yaitu (1) budaya, (2) SDM atau perilaku, (3) manajerial atau struktur, dan (4) lingkungan. </w:t>
            </w:r>
          </w:p>
        </w:tc>
      </w:tr>
    </w:tbl>
    <w:p w14:paraId="096565DB" w14:textId="77777777" w:rsidR="00B8059D" w:rsidRDefault="00B8059D" w:rsidP="00B8059D">
      <w:pPr>
        <w:keepNext/>
        <w:spacing w:before="100" w:beforeAutospacing="1" w:line="360" w:lineRule="auto"/>
        <w:ind w:left="113"/>
        <w:jc w:val="both"/>
        <w:rPr>
          <w:rFonts w:eastAsia="Calibri"/>
          <w:b/>
          <w:bCs/>
          <w:kern w:val="2"/>
          <w:lang w:val="id-ID" w:eastAsia="en-US"/>
          <w14:ligatures w14:val="standardContextual"/>
        </w:rPr>
      </w:pPr>
    </w:p>
    <w:p w14:paraId="1D4DC8CA" w14:textId="1689B189" w:rsidR="009F0C46" w:rsidRDefault="001F7452" w:rsidP="001F7452">
      <w:pPr>
        <w:jc w:val="both"/>
        <w:rPr>
          <w:rFonts w:ascii="Trebuchet MS" w:eastAsia="Trebuchet MS" w:hAnsi="Trebuchet MS" w:cs="Trebuchet MS"/>
          <w:b/>
          <w:lang w:val="sv-SE"/>
        </w:rPr>
      </w:pPr>
      <w:r w:rsidRPr="00B8059D">
        <w:rPr>
          <w:rFonts w:ascii="Trebuchet MS" w:eastAsia="Trebuchet MS" w:hAnsi="Trebuchet MS" w:cs="Trebuchet MS"/>
          <w:b/>
          <w:lang w:val="sv-SE"/>
        </w:rPr>
        <w:t>PEMBAHASAN</w:t>
      </w:r>
      <w:bookmarkEnd w:id="0"/>
    </w:p>
    <w:p w14:paraId="54DB2228" w14:textId="77777777" w:rsidR="001F7452" w:rsidRPr="001F7452" w:rsidRDefault="001F7452" w:rsidP="001F7452">
      <w:pPr>
        <w:jc w:val="both"/>
        <w:rPr>
          <w:rFonts w:ascii="Trebuchet MS" w:eastAsia="Trebuchet MS" w:hAnsi="Trebuchet MS" w:cs="Trebuchet MS"/>
          <w:b/>
          <w:lang w:val="id-ID"/>
        </w:rPr>
      </w:pPr>
      <w:r w:rsidRPr="001F7452">
        <w:rPr>
          <w:rFonts w:ascii="Trebuchet MS" w:eastAsia="Trebuchet MS" w:hAnsi="Trebuchet MS" w:cs="Trebuchet MS"/>
          <w:b/>
          <w:lang w:val="id-ID"/>
        </w:rPr>
        <w:t>Nilai-nilai Publik dalam Perspektif Administrasi Publik</w:t>
      </w:r>
    </w:p>
    <w:p w14:paraId="75BA410E" w14:textId="30DCB067"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 xml:space="preserve">Nilai-nilai publik merupakan prinsip dasar yang menjadi pedoman bagi penyelenggara pemerintahan dalam melayani masyarakat serta menjadi tolak ukur legitimasi dan efektivitas birokrasi. Pelayanan publik yang berlandaskan nilai harus mampu menegakkan prinsip transparansi, keadilan, akuntabilitas, efisiensi, dan partisipasi masyarakat. Nilai-nilai ini membentuk perilaku aparatur negara dan menjadi sarana penting untuk membangun kepercayaan masyarakat. </w:t>
      </w:r>
    </w:p>
    <w:p w14:paraId="055E9ED7" w14:textId="1D682148"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Nilai publik menjadi pendorong bagi aparatur negara dalam melaksanakan tugasnya secara jujur dan bertanggung jawab secara moral kepada masyarakat. Selain itu, pemerintah yang menjunjung nilai transparansi dan keadilan akan lebih mudah mendapatkan kepercayaan dan dukungan dari masyarakat. Birokrasi yang menegakkan nilai publik cenderung lebih terbuka terhadap inovasi, lebih tanggap terhadap kebutuhan masyarakat, serta lebih etis dalam mengambil keputusan.</w:t>
      </w:r>
    </w:p>
    <w:p w14:paraId="1A004F30" w14:textId="3ED19408"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lastRenderedPageBreak/>
        <w:tab/>
      </w:r>
      <w:r w:rsidRPr="001F7452">
        <w:rPr>
          <w:rFonts w:ascii="Trebuchet MS" w:eastAsia="Trebuchet MS" w:hAnsi="Trebuchet MS" w:cs="Trebuchet MS"/>
          <w:bCs/>
          <w:lang w:val="id-ID"/>
        </w:rPr>
        <w:t>Hal ini diperkuat oleh hasil studi pustaka yang ditemukan yaitu, penelitian Fransiska et al. (2025) yang menyatakan bahwa birokrasi sentralistik cenderung menghambat efektivitas layanan publik, sementara desentralisasi yang diterapkan bersama nilai-nilai seperti partisipasi dan transparansi justru meningkatkan responsivitas pemerintahan. Hal ini menunjukkan bahwa semakin tinggi penerapan nilai publik, semakin kuat legitimasi masyarakat terhadap pemerintah.</w:t>
      </w:r>
    </w:p>
    <w:p w14:paraId="18EA96F1"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Penelitian Budiman et al. (2022) juga menunjukkan bahwa etika pelayanan publik berperan penting dalam mencegah penyimpangan dan meningkatkan kepercayaan masyarakat terhadap pemerintah. Sehingga, good governance dapat terwujud. Sementara itu, Choirulsyah dan Azhar (2024) menegaskan bahwa pelanggaran kode etik masih kerap terjadi, sehingga pemerintah perlu memperkuat penerapan etika administrasi publik agar nilai-nilai publik dapat diterapkan secara efektif.</w:t>
      </w:r>
    </w:p>
    <w:p w14:paraId="7AAD5F5C" w14:textId="0928DEB0"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Sejalan dengan itu, pengembangan karakter aparatur negara perlu diperkuat agar mampu menjalankan tugasnya secara profesional, berintegritas, dan sesuai dengan nilai pelayanan publik. Afrijal et al. (2023) mengemukakan bahwa penerapan nilai-nilai Pancasila dalam diri aparatur negara dapat memperkuat karakter etis dan moral dalam pelayanan publik. Dengan demikian, penguatan nilai-nilai publik tidak hanya perlu diterapkan dalam sistem dan kebijakan, tetapi juga harus ditanamkan dalam karakter dan budaya kerja aparatur negara agar tercipta pelayanan publik yang berkualitas dan berkeadilan.</w:t>
      </w:r>
    </w:p>
    <w:p w14:paraId="68303505" w14:textId="77777777" w:rsidR="001F7452" w:rsidRPr="001F7452" w:rsidRDefault="001F7452" w:rsidP="001F7452">
      <w:pPr>
        <w:jc w:val="both"/>
        <w:rPr>
          <w:rFonts w:ascii="Trebuchet MS" w:eastAsia="Trebuchet MS" w:hAnsi="Trebuchet MS" w:cs="Trebuchet MS"/>
          <w:b/>
          <w:lang w:val="id-ID"/>
        </w:rPr>
      </w:pPr>
      <w:r w:rsidRPr="001F7452">
        <w:rPr>
          <w:rFonts w:ascii="Trebuchet MS" w:eastAsia="Trebuchet MS" w:hAnsi="Trebuchet MS" w:cs="Trebuchet MS"/>
          <w:b/>
          <w:lang w:val="id-ID"/>
        </w:rPr>
        <w:t>Karakteristik dan Motivasi Generasi Muda dalam Memilih Karier</w:t>
      </w:r>
    </w:p>
    <w:p w14:paraId="1C6EF089"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ab/>
        <w:t xml:space="preserve">Genereasi muda, khususnya generasi Z tumbuh di era globalisasi dan digitalisasi dengan sikap individulistik yang kuat. Mereka memiliki pola pikir yang cepat, mahir dalam teknologi, dan memiliki standar tinggi dalam menentukan lingkungan kerja yang fleksibel dan memuaskan. Bagi mereka, pekerjaan bukan hanya soal keamanan finansial, tetapi juga untuk mencari tujuan dan keseimbangan hidup serta kesempatan untuk mengembangkan diri. </w:t>
      </w:r>
    </w:p>
    <w:p w14:paraId="670E8AF0" w14:textId="7FF3A900"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Dalam konteks ini, sektor publik dihadapkan pada tantangan besar karena birokrasi yang kaku dan hierarkis dianggap tidak sesuai dengan ekspektasi generasi muda yang mengutamakan fleksibilitas, kolaborasi, dan inovasi. Oleh karena itu, sektor publik perlu bertransformasi menjadi organisasi yang lebih adaptif, berorientasi pada nilai, serta menyediakan ruang bagi kreativitas dan pengembangan karier.</w:t>
      </w:r>
    </w:p>
    <w:p w14:paraId="33F50ADB"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ab/>
        <w:t xml:space="preserve">Dari hasil penelitian Kesumah (2025) menunjukkan bahwa minat generasi muda dalam memilih karier dipengaruhi oleh employer branding yang signifikan. Istilah employer branding merupakan upaya organisasi dalam membangun citra positif sebagai tempat kerja yang menarik. Menurut Kusnandar (2022) dalam Ananda dan Santosa (2024), employer branding dapat diukur melalui indikator seperti budaya kerja, etika dan Corporate Social Responsibility (CSR), keberagaman, serta sistem kompensasi dan insentif. </w:t>
      </w:r>
    </w:p>
    <w:p w14:paraId="5AAE3C16" w14:textId="41A76581"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Selain itu, Prasasti, Ramadhan, dan Surbakti (2024) menegaskan bahwa penerapan Flexible Working Arrangement (FWA) memberikan dampak positif terhadap motivasi, produktivitas, dan kesejahteraan pegawai, terutama bagi Generasi Z. FWA tidak hanya membantu menyeimbangkan kehidupan kerja dan pribadi, tetapi juga meningkatkan minat generasi muda untuk berkarier karena adanya fleksibilitas waktu dalam bekerja.</w:t>
      </w:r>
    </w:p>
    <w:p w14:paraId="69441199" w14:textId="77777777" w:rsid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ab/>
        <w:t>Hal ini menunjukkan bahwa generasi muda cenderung memilih untuk berkarier di tempat yang menawarkan citra positif, fleksibilitas kerja, dan kesempatan pengembangan diri, sehingga faktor-faktor tersebut perlu menjadi perhatian dalam upaya menarik minat mereka untuk bekerja di suatu instansi.</w:t>
      </w:r>
    </w:p>
    <w:p w14:paraId="36E2EE23" w14:textId="77777777" w:rsidR="001F7452" w:rsidRDefault="001F7452" w:rsidP="001F7452">
      <w:pPr>
        <w:jc w:val="both"/>
        <w:rPr>
          <w:rFonts w:ascii="Trebuchet MS" w:eastAsia="Trebuchet MS" w:hAnsi="Trebuchet MS" w:cs="Trebuchet MS"/>
          <w:bCs/>
          <w:lang w:val="id-ID"/>
        </w:rPr>
      </w:pPr>
    </w:p>
    <w:p w14:paraId="520587D4" w14:textId="77777777" w:rsidR="001F7452" w:rsidRPr="001F7452" w:rsidRDefault="001F7452" w:rsidP="001F7452">
      <w:pPr>
        <w:jc w:val="both"/>
        <w:rPr>
          <w:rFonts w:ascii="Trebuchet MS" w:eastAsia="Trebuchet MS" w:hAnsi="Trebuchet MS" w:cs="Trebuchet MS"/>
          <w:bCs/>
          <w:lang w:val="id-ID"/>
        </w:rPr>
      </w:pPr>
    </w:p>
    <w:p w14:paraId="73641337" w14:textId="77777777" w:rsidR="001F7452" w:rsidRPr="001F7452" w:rsidRDefault="001F7452" w:rsidP="001F7452">
      <w:pPr>
        <w:jc w:val="both"/>
        <w:rPr>
          <w:rFonts w:ascii="Trebuchet MS" w:eastAsia="Trebuchet MS" w:hAnsi="Trebuchet MS" w:cs="Trebuchet MS"/>
          <w:b/>
          <w:lang w:val="id-ID"/>
        </w:rPr>
      </w:pPr>
      <w:r w:rsidRPr="001F7452">
        <w:rPr>
          <w:rFonts w:ascii="Trebuchet MS" w:eastAsia="Trebuchet MS" w:hAnsi="Trebuchet MS" w:cs="Trebuchet MS"/>
          <w:b/>
          <w:lang w:val="id-ID"/>
        </w:rPr>
        <w:t>Minat Generasi Muda Berkarier di Sektor Publik</w:t>
      </w:r>
    </w:p>
    <w:p w14:paraId="61420FC0"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lastRenderedPageBreak/>
        <w:tab/>
        <w:t>Minat generasi muda untuk berkarier di sektor publik telah menjadi masalah penting dalam konteks pembangunan sumber daya manusia aparatur yang berkelanjutan. Dalam beberapa tahun terakhir, sektor publik telah menghadapi tantangan besar dalam menarik minat generasi milenial dan generasi Z untuk bergabung menjadi Aparatur Sipil Negara (ASN) atau bekerja di lembaga pemerintahan. Berdasarkan hasil studi pustaka, terdapat beberapa faktor-faktor yang memengaruhi minat tersebut, yaitu persepsi terhadap citra pemerintah, stabilitas kerja, lingkungan kerja, employer branding, serta penerapan fleksibilitas kerja.</w:t>
      </w:r>
    </w:p>
    <w:p w14:paraId="3E6332CF"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ab/>
        <w:t>Penelitian Amalia et al. (2025) menunjukkan bahwa employer branding, lingkungan kerja, dan etos kerja memiliki pengaruh signifikan terhadap minat generasi muda untuk berkarier di sektor publik. Hal ini menggambarkan bahwa generasi muda cenderung mempertimbangkan kesesuaian nilai-nilai organisasi dengan nilai pribadi, serta kondisi kerja yang mendukung keseimbangan kehidupan pribadi dan profesional. Mereka menginginkan lingkungan kerja yang adaptif, transparan, dan berbasis penghargaan terhadap kompetensi.</w:t>
      </w:r>
    </w:p>
    <w:p w14:paraId="7EA104EA"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ab/>
        <w:t>Sementara itu, penelitian Firdauzi et al. (2025) menyoroti peran persepsi terhadap stabilitas kerja dan citra pemerintah dalam meningkatkan minat mahasiswa generasi Z menjadi ASN. Hasilnya menunjukkan bahwa stabilitas kerja menjadi daya tarik utama sektor publik dibanding sektor swasta. Namun, persepsi negatif terhadap birokrasi yang lamban dan budaya kerja yang kakku masih menjadi penghambat utama. Oleh karena itu, pembenahan citra pemerintah melalui reformasi birokrasi, peningkatan profesionalisme ASN, serta digitalisasi layanan publik merupakan langkah strategis untuk menarik minat generasi muda.</w:t>
      </w:r>
    </w:p>
    <w:p w14:paraId="1D4C8E3F" w14:textId="77777777" w:rsid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Selain itu, Fanani dan Jannah (2025) menekankan perlunya perencanaan SDM sektor publik yang adaptif, disesuaikan dengan karakteristik generasi milenial dan Z. Strategi seperti pelatihan digital, kepemimpinan transformasional, dan penguatan kebijakan Smart ASN bisa meningkatkan daya tarik sektor publik sebagai tempat karier yang modern dan dinamis. Namun, tantangan seperti literasi digital yang rendah dan resistensi budaya di lingkungan birokrasi masih perlu diatasi.</w:t>
      </w:r>
      <w:r w:rsidRPr="001F7452">
        <w:rPr>
          <w:rFonts w:ascii="Trebuchet MS" w:eastAsia="Trebuchet MS" w:hAnsi="Trebuchet MS" w:cs="Trebuchet MS"/>
          <w:bCs/>
          <w:lang w:val="id-ID"/>
        </w:rPr>
        <w:tab/>
      </w:r>
    </w:p>
    <w:p w14:paraId="02467D6C" w14:textId="1CF9B6C5"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Kondisi sosial-ekonomi juga berperan penting dalam memengaruhi minat berkarier. Data dari Badan Pusat Statistik (BPS) menunjukkan tingkat pengangguran terbuka usia muda (15–24 tahun) di Indonesia mencapai 16,16% pada 2023 (Kompas.id, 2024). Di sisi lain, sekitar 55,8% pemuda bekerja di sektor jasa dengan penghasilan antara Rp1 juta hingga kurang dari Rp2 juta per bulan (Katadata, 2021). Pasar kerja yang menantang ini membuat sektor publik, dengan keamanan kerja dan jaminan kesejahteraan jangka panjang, menjadi pilihan menarik bagi generasi muda.</w:t>
      </w:r>
    </w:p>
    <w:p w14:paraId="654647D0" w14:textId="50236DD9"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Secara keseluruhan, kajian pustaka dan data empiris menunjukkan bahwa minat generasi muda berkarier di sektor publik tidak lagi hanya didorong oleh faktor ekonomi seperti gaji dan stabilitas kerja, tetapi juga oleh faktor psikologis dan nilai-nilai publik, seperti makna pekerjaan, fleksibilitas, dan kesempatan berkembang. Untuk meningkatkan minat tersebut, pemerintah perlu mengubah paradigma birokrasi menjadi lebih adaptif, inovatif, dan berbasis nilai, serta memberikan ruang partisipasi dan kreativitas bagi generasi baru yang kritis dan progresif.</w:t>
      </w:r>
    </w:p>
    <w:p w14:paraId="543DDD84" w14:textId="77777777" w:rsidR="001F7452" w:rsidRPr="001F7452" w:rsidRDefault="001F7452" w:rsidP="001F7452">
      <w:pPr>
        <w:jc w:val="both"/>
        <w:rPr>
          <w:rFonts w:ascii="Trebuchet MS" w:eastAsia="Trebuchet MS" w:hAnsi="Trebuchet MS" w:cs="Trebuchet MS"/>
          <w:b/>
          <w:lang w:val="id-ID"/>
        </w:rPr>
      </w:pPr>
      <w:r w:rsidRPr="001F7452">
        <w:rPr>
          <w:rFonts w:ascii="Trebuchet MS" w:eastAsia="Trebuchet MS" w:hAnsi="Trebuchet MS" w:cs="Trebuchet MS"/>
          <w:b/>
          <w:lang w:val="id-ID"/>
        </w:rPr>
        <w:t>Tantangan dalam Membangun Minat Generasi Muda untuk Berkarier di Sektor Publik</w:t>
      </w:r>
    </w:p>
    <w:p w14:paraId="6467F175" w14:textId="77777777" w:rsidR="001F7452" w:rsidRPr="001F7452" w:rsidRDefault="001F7452" w:rsidP="001F7452">
      <w:pPr>
        <w:jc w:val="both"/>
        <w:rPr>
          <w:rFonts w:ascii="Trebuchet MS" w:eastAsia="Trebuchet MS" w:hAnsi="Trebuchet MS" w:cs="Trebuchet MS"/>
          <w:bCs/>
          <w:lang w:val="id-ID"/>
        </w:rPr>
      </w:pPr>
      <w:r w:rsidRPr="001F7452">
        <w:rPr>
          <w:rFonts w:ascii="Trebuchet MS" w:eastAsia="Trebuchet MS" w:hAnsi="Trebuchet MS" w:cs="Trebuchet MS"/>
          <w:bCs/>
          <w:lang w:val="id-ID"/>
        </w:rPr>
        <w:tab/>
        <w:t xml:space="preserve">Meskipun sektor publik memiliki potensi sebagai pilihan karier yang stabil dan memuaskan, masih banyak tantangan yang menghambat minat generasi muda untuk berkarier di bidang ini. Tantangan tersebut umumnya berkaitan dengan ketidaksesuaian antara karakteristik personal generasi muda dan budaya organisasi birokrasi yang masih cenderung kaku, hierarkis, dan lamban beradaptasi dengan perubahan sosial dan teknologi. </w:t>
      </w:r>
    </w:p>
    <w:p w14:paraId="02A713E9" w14:textId="32E559AA"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 xml:space="preserve">Ketidaksesuaian antara karakter Generasi Z yang dinamis, kolaboratif, dan mengutamakan fleksibilitas dengan sistem birokrasi yang hierarkis menjadi hambatan utama dalam memaksimalkan peran mereka di sektor publik (Pambudi, 2025). Generasi muda cenderung </w:t>
      </w:r>
      <w:r w:rsidRPr="001F7452">
        <w:rPr>
          <w:rFonts w:ascii="Trebuchet MS" w:eastAsia="Trebuchet MS" w:hAnsi="Trebuchet MS" w:cs="Trebuchet MS"/>
          <w:bCs/>
          <w:lang w:val="id-ID"/>
        </w:rPr>
        <w:lastRenderedPageBreak/>
        <w:t>mencari lingkungan kerja yang memberi ruang bagi inovasi dan partisipasi aktif, sedangkan birokrasi berorientasi padakepatuhan pada prosedur yang ketat sehingga kurang mendukung kreativitas.</w:t>
      </w:r>
    </w:p>
    <w:p w14:paraId="5EB39587" w14:textId="36287DEA"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Selanjutnya, ada tantangan yang berasal dari isu politisasi birokrasi, terutama dalam aspek rekrutmen dan promosi jabatan. Hasil penelitian Manurung et al. (2025) menemukan bahwa intervensi politik dalam sistem kepegawaian publik masih menjadi kendala dalam menciptakan lingkungan kerja yang berbasis meritokrasi. Kondisi ini menurunkan motivasi generasi muda yang mengharapkan adanya sistem yang transparan, adil, dan berdasarkan pada prestasi.</w:t>
      </w:r>
    </w:p>
    <w:p w14:paraId="2A7C4B9D" w14:textId="4A733D98"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Selain itu, penelitian tersebut juga mengemukakan bahwa walaupun upaya digitalisasi dan pelatihan berbasis kompetensi sudah mulai diimplementasikan, hambatan berupa resistensi budaya serta keterbatasan dalam literasi digital masih menjadi penghalang utama dalam proses transformasi menuju organisasi publik yang lebih modern dan adaptif.</w:t>
      </w:r>
    </w:p>
    <w:p w14:paraId="315E4AF8" w14:textId="58415A9E" w:rsidR="001F7452" w:rsidRPr="001F7452" w:rsidRDefault="001F7452" w:rsidP="001F7452">
      <w:pPr>
        <w:jc w:val="both"/>
        <w:rPr>
          <w:rFonts w:ascii="Trebuchet MS" w:eastAsia="Trebuchet MS" w:hAnsi="Trebuchet MS" w:cs="Trebuchet MS"/>
          <w:bCs/>
          <w:lang w:val="id-ID"/>
        </w:rPr>
      </w:pPr>
      <w:r>
        <w:rPr>
          <w:rFonts w:ascii="Trebuchet MS" w:eastAsia="Trebuchet MS" w:hAnsi="Trebuchet MS" w:cs="Trebuchet MS"/>
          <w:bCs/>
          <w:lang w:val="id-ID"/>
        </w:rPr>
        <w:tab/>
      </w:r>
      <w:r w:rsidRPr="001F7452">
        <w:rPr>
          <w:rFonts w:ascii="Trebuchet MS" w:eastAsia="Trebuchet MS" w:hAnsi="Trebuchet MS" w:cs="Trebuchet MS"/>
          <w:bCs/>
          <w:lang w:val="id-ID"/>
        </w:rPr>
        <w:t>Tidak hanya itu, Seno (2022) menekankan bahwa praktik manajemen talenta di sektor publik masih lemah. Kurangnya pengembangan karier yang terstruktur, keterbatasan insentif non-finansial, dan minimnya kesempatan untuk terus belajar dan berkembang menjadi tantangan serius dalam menarik dan mempertahankan pegawai muda. Ketidakefektifan manajemen talenta ini menyebabkan sektor publik menjadi kurang kompetitif jika dibandingkan dengan sektor swasta yang lebih agresif dalam menyediakan fasilitas pengembangan sumber daya manusia.</w:t>
      </w:r>
      <w:r>
        <w:rPr>
          <w:rFonts w:ascii="Trebuchet MS" w:eastAsia="Trebuchet MS" w:hAnsi="Trebuchet MS" w:cs="Trebuchet MS"/>
          <w:bCs/>
          <w:lang w:val="id-ID"/>
        </w:rPr>
        <w:t xml:space="preserve"> </w:t>
      </w:r>
      <w:r w:rsidRPr="001F7452">
        <w:rPr>
          <w:rFonts w:ascii="Trebuchet MS" w:eastAsia="Trebuchet MS" w:hAnsi="Trebuchet MS" w:cs="Trebuchet MS"/>
          <w:bCs/>
          <w:lang w:val="id-ID"/>
        </w:rPr>
        <w:t>Secara keseluruhan, tantangan-tantangan tersebut menunjukkan bahwa meskipun sektor publik memiliki daya tarik dalam stabilitas kerja dan pelayanan kepada masyarakat, masih terdapat kesenjangan yang signifikan antara ekspektasi generasi muda dengan kondisi aktual di lapangan.</w:t>
      </w:r>
    </w:p>
    <w:p w14:paraId="11E9D7C8" w14:textId="77777777" w:rsidR="001F7452" w:rsidRPr="00B8059D" w:rsidRDefault="001F7452">
      <w:pPr>
        <w:ind w:firstLine="720"/>
        <w:jc w:val="both"/>
        <w:rPr>
          <w:rFonts w:ascii="Trebuchet MS" w:eastAsia="Trebuchet MS" w:hAnsi="Trebuchet MS" w:cs="Trebuchet MS"/>
          <w:lang w:val="sv-SE"/>
        </w:rPr>
      </w:pPr>
    </w:p>
    <w:p w14:paraId="4C1C9D90" w14:textId="4BF4D83B" w:rsidR="009F0C46" w:rsidRDefault="001F7452">
      <w:pPr>
        <w:numPr>
          <w:ilvl w:val="0"/>
          <w:numId w:val="1"/>
        </w:numPr>
        <w:pBdr>
          <w:top w:val="nil"/>
          <w:left w:val="nil"/>
          <w:bottom w:val="nil"/>
          <w:right w:val="nil"/>
          <w:between w:val="nil"/>
        </w:pBdr>
        <w:spacing w:after="120"/>
        <w:ind w:left="284" w:hanging="284"/>
        <w:rPr>
          <w:rFonts w:ascii="Trebuchet MS" w:eastAsia="Trebuchet MS" w:hAnsi="Trebuchet MS" w:cs="Trebuchet MS"/>
          <w:color w:val="000000"/>
        </w:rPr>
      </w:pPr>
      <w:r>
        <w:rPr>
          <w:rFonts w:ascii="Trebuchet MS" w:eastAsia="Trebuchet MS" w:hAnsi="Trebuchet MS" w:cs="Trebuchet MS"/>
          <w:b/>
          <w:color w:val="000000"/>
        </w:rPr>
        <w:t>KESIMPULAN</w:t>
      </w:r>
    </w:p>
    <w:p w14:paraId="4067DDA8" w14:textId="7E34735E" w:rsidR="001F7452" w:rsidRPr="001F7452" w:rsidRDefault="001F7452" w:rsidP="001F7452">
      <w:pPr>
        <w:jc w:val="both"/>
        <w:rPr>
          <w:rFonts w:ascii="Trebuchet MS" w:eastAsia="Trebuchet MS" w:hAnsi="Trebuchet MS" w:cs="Trebuchet MS"/>
          <w:bCs/>
          <w:color w:val="000000"/>
          <w:lang w:val="sv-SE"/>
        </w:rPr>
      </w:pPr>
      <w:r>
        <w:rPr>
          <w:rFonts w:ascii="Trebuchet MS" w:eastAsia="Trebuchet MS" w:hAnsi="Trebuchet MS" w:cs="Trebuchet MS"/>
          <w:bCs/>
          <w:color w:val="000000"/>
          <w:lang w:val="sv-SE"/>
        </w:rPr>
        <w:tab/>
      </w:r>
      <w:r w:rsidRPr="001F7452">
        <w:rPr>
          <w:rFonts w:ascii="Trebuchet MS" w:eastAsia="Trebuchet MS" w:hAnsi="Trebuchet MS" w:cs="Trebuchet MS"/>
          <w:bCs/>
          <w:color w:val="000000"/>
          <w:lang w:val="sv-SE"/>
        </w:rPr>
        <w:t>Penelitian ini menunjukkan bahwa nilai-nilai publik seperti keadilan, akuntabilitas, dan transparansi memiliki peran penting dalam membentuk persepsi positif generasi muda terhadap sektor publik. Internalisasi nilai-nilai tersebut dapat meningkatkan motivasi dan kepercayaan mereka untuk berkarier di instansi pemerintah. Namun, daya tarik sektor publik masih terhambat oleh budaya birokrasi yang kaku, kurangnya fleksibilitas kerja, serta adanya politisasi dalam proses rekrutmen dan promosi jabatan yang menurunkan minat generasi muda.</w:t>
      </w:r>
    </w:p>
    <w:p w14:paraId="1697FDE1" w14:textId="3D3AEBE3" w:rsidR="009F0C46" w:rsidRDefault="001F7452" w:rsidP="001F7452">
      <w:pPr>
        <w:jc w:val="both"/>
        <w:rPr>
          <w:rFonts w:ascii="Trebuchet MS" w:eastAsia="Trebuchet MS" w:hAnsi="Trebuchet MS" w:cs="Trebuchet MS"/>
          <w:bCs/>
          <w:color w:val="000000"/>
          <w:lang w:val="sv-SE"/>
        </w:rPr>
      </w:pPr>
      <w:r>
        <w:rPr>
          <w:rFonts w:ascii="Trebuchet MS" w:eastAsia="Trebuchet MS" w:hAnsi="Trebuchet MS" w:cs="Trebuchet MS"/>
          <w:bCs/>
          <w:color w:val="000000"/>
          <w:lang w:val="sv-SE"/>
        </w:rPr>
        <w:tab/>
      </w:r>
      <w:r w:rsidRPr="001F7452">
        <w:rPr>
          <w:rFonts w:ascii="Trebuchet MS" w:eastAsia="Trebuchet MS" w:hAnsi="Trebuchet MS" w:cs="Trebuchet MS"/>
          <w:bCs/>
          <w:color w:val="000000"/>
          <w:lang w:val="sv-SE"/>
        </w:rPr>
        <w:t>Oleh karena itu, pemerintah perlu memperkuat penerapan nilai-nilai publik sekaligus melakukan reformasi birokrasi yang adaptif, transparan, dan berbasis meritokrasi. Transformasi ini penting agar sektor publik tidak hanya dikenal sebagai tempat kerja yang stabil, tetapi juga sebagai lingkungan yang profesional, inovatif, serta memberikan ruang bagi kreativitas dan pengembangan diri generasi muda. Dengan demikian, sektor publik dapat kembali menjadi pilihan karier yang bermakna dan berkontribusi nyata bagi masyarakat.</w:t>
      </w:r>
    </w:p>
    <w:p w14:paraId="57FCE932" w14:textId="77777777" w:rsidR="001F7452" w:rsidRPr="001F7452" w:rsidRDefault="001F7452" w:rsidP="001F7452">
      <w:pPr>
        <w:jc w:val="both"/>
        <w:rPr>
          <w:rFonts w:ascii="Trebuchet MS" w:eastAsia="Trebuchet MS" w:hAnsi="Trebuchet MS" w:cs="Trebuchet MS"/>
          <w:bCs/>
          <w:color w:val="000000"/>
          <w:lang w:val="id-ID"/>
        </w:rPr>
      </w:pPr>
    </w:p>
    <w:p w14:paraId="5FF35137" w14:textId="77777777" w:rsidR="009F0C46" w:rsidRDefault="00000000">
      <w:pPr>
        <w:numPr>
          <w:ilvl w:val="0"/>
          <w:numId w:val="1"/>
        </w:numPr>
        <w:pBdr>
          <w:top w:val="nil"/>
          <w:left w:val="nil"/>
          <w:bottom w:val="nil"/>
          <w:right w:val="nil"/>
          <w:between w:val="nil"/>
        </w:pBdr>
        <w:spacing w:after="120"/>
        <w:ind w:left="284" w:hanging="284"/>
        <w:rPr>
          <w:rFonts w:ascii="Trebuchet MS" w:eastAsia="Trebuchet MS" w:hAnsi="Trebuchet MS" w:cs="Trebuchet MS"/>
          <w:b/>
          <w:color w:val="000000"/>
        </w:rPr>
      </w:pPr>
      <w:r>
        <w:rPr>
          <w:rFonts w:ascii="Trebuchet MS" w:eastAsia="Trebuchet MS" w:hAnsi="Trebuchet MS" w:cs="Trebuchet MS"/>
          <w:b/>
          <w:color w:val="000000"/>
        </w:rPr>
        <w:t>DAFTAR PUSTAKA</w:t>
      </w:r>
    </w:p>
    <w:p w14:paraId="054D1A7B"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rPr>
        <w:t xml:space="preserve">Adinda Puspita Ningrum, </w:t>
      </w:r>
      <w:proofErr w:type="spellStart"/>
      <w:r w:rsidRPr="001F7452">
        <w:rPr>
          <w:rFonts w:ascii="Trebuchet MS" w:eastAsia="Trebuchet MS" w:hAnsi="Trebuchet MS" w:cs="Trebuchet MS"/>
          <w:color w:val="000000"/>
        </w:rPr>
        <w:t>Furaihan</w:t>
      </w:r>
      <w:proofErr w:type="spellEnd"/>
      <w:r w:rsidRPr="001F7452">
        <w:rPr>
          <w:rFonts w:ascii="Trebuchet MS" w:eastAsia="Trebuchet MS" w:hAnsi="Trebuchet MS" w:cs="Trebuchet MS"/>
          <w:color w:val="000000"/>
        </w:rPr>
        <w:t xml:space="preserve"> Kamyl Arnazaye, and Ricko Adi Wicaksana. </w:t>
      </w:r>
      <w:r w:rsidRPr="001F7452">
        <w:rPr>
          <w:rFonts w:ascii="Trebuchet MS" w:eastAsia="Trebuchet MS" w:hAnsi="Trebuchet MS" w:cs="Trebuchet MS"/>
          <w:color w:val="000000"/>
          <w:lang w:val="sv-SE"/>
        </w:rPr>
        <w:t xml:space="preserve">2023. “Analisis Faktor Motivasi Mahasiswa Untuk Menjadi Pegawai Pemerintah.” </w:t>
      </w:r>
      <w:r w:rsidRPr="001F7452">
        <w:rPr>
          <w:rFonts w:ascii="Trebuchet MS" w:eastAsia="Trebuchet MS" w:hAnsi="Trebuchet MS" w:cs="Trebuchet MS"/>
          <w:i/>
          <w:iCs/>
          <w:color w:val="000000"/>
          <w:lang w:val="sv-SE"/>
        </w:rPr>
        <w:t>Jurnal Publik: Jurnal Ilmiah Bidang Ilmu Administrasi Negara</w:t>
      </w:r>
      <w:r w:rsidRPr="001F7452">
        <w:rPr>
          <w:rFonts w:ascii="Trebuchet MS" w:eastAsia="Trebuchet MS" w:hAnsi="Trebuchet MS" w:cs="Trebuchet MS"/>
          <w:color w:val="000000"/>
          <w:lang w:val="sv-SE"/>
        </w:rPr>
        <w:t xml:space="preserve"> 17(02):87–103. doi: 10.52434/jp.v17i02.190.</w:t>
      </w:r>
    </w:p>
    <w:p w14:paraId="79FD9BF3" w14:textId="2CDA9C1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proofErr w:type="spellStart"/>
      <w:r w:rsidRPr="001F7452">
        <w:rPr>
          <w:rFonts w:ascii="Trebuchet MS" w:eastAsia="Trebuchet MS" w:hAnsi="Trebuchet MS" w:cs="Trebuchet MS"/>
          <w:color w:val="000000"/>
          <w:lang w:val="en-ID"/>
        </w:rPr>
        <w:t>Afrijal</w:t>
      </w:r>
      <w:proofErr w:type="spellEnd"/>
      <w:r w:rsidRPr="001F7452">
        <w:rPr>
          <w:rFonts w:ascii="Trebuchet MS" w:eastAsia="Trebuchet MS" w:hAnsi="Trebuchet MS" w:cs="Trebuchet MS"/>
          <w:color w:val="000000"/>
          <w:lang w:val="en-ID"/>
        </w:rPr>
        <w:t xml:space="preserve">, </w:t>
      </w:r>
      <w:proofErr w:type="spellStart"/>
      <w:r w:rsidRPr="001F7452">
        <w:rPr>
          <w:rFonts w:ascii="Trebuchet MS" w:eastAsia="Trebuchet MS" w:hAnsi="Trebuchet MS" w:cs="Trebuchet MS"/>
          <w:color w:val="000000"/>
          <w:lang w:val="en-ID"/>
        </w:rPr>
        <w:t>Afrijal</w:t>
      </w:r>
      <w:proofErr w:type="spellEnd"/>
      <w:r w:rsidRPr="001F7452">
        <w:rPr>
          <w:rFonts w:ascii="Trebuchet MS" w:eastAsia="Trebuchet MS" w:hAnsi="Trebuchet MS" w:cs="Trebuchet MS"/>
          <w:color w:val="000000"/>
          <w:lang w:val="en-ID"/>
        </w:rPr>
        <w:t xml:space="preserve">, Helmi </w:t>
      </w:r>
      <w:proofErr w:type="spellStart"/>
      <w:r w:rsidRPr="001F7452">
        <w:rPr>
          <w:rFonts w:ascii="Trebuchet MS" w:eastAsia="Trebuchet MS" w:hAnsi="Trebuchet MS" w:cs="Trebuchet MS"/>
          <w:color w:val="000000"/>
          <w:lang w:val="en-ID"/>
        </w:rPr>
        <w:t>Helmi</w:t>
      </w:r>
      <w:proofErr w:type="spellEnd"/>
      <w:r w:rsidRPr="001F7452">
        <w:rPr>
          <w:rFonts w:ascii="Trebuchet MS" w:eastAsia="Trebuchet MS" w:hAnsi="Trebuchet MS" w:cs="Trebuchet MS"/>
          <w:color w:val="000000"/>
          <w:lang w:val="en-ID"/>
        </w:rPr>
        <w:t xml:space="preserve">, Ikhwan </w:t>
      </w:r>
      <w:proofErr w:type="spellStart"/>
      <w:r w:rsidRPr="001F7452">
        <w:rPr>
          <w:rFonts w:ascii="Trebuchet MS" w:eastAsia="Trebuchet MS" w:hAnsi="Trebuchet MS" w:cs="Trebuchet MS"/>
          <w:color w:val="000000"/>
          <w:lang w:val="en-ID"/>
        </w:rPr>
        <w:t>Rahmatika</w:t>
      </w:r>
      <w:proofErr w:type="spellEnd"/>
      <w:r w:rsidRPr="001F7452">
        <w:rPr>
          <w:rFonts w:ascii="Trebuchet MS" w:eastAsia="Trebuchet MS" w:hAnsi="Trebuchet MS" w:cs="Trebuchet MS"/>
          <w:color w:val="000000"/>
          <w:lang w:val="en-ID"/>
        </w:rPr>
        <w:t xml:space="preserve"> Latif, and Bustami Usman. </w:t>
      </w:r>
      <w:r w:rsidRPr="001F7452">
        <w:rPr>
          <w:rFonts w:ascii="Trebuchet MS" w:eastAsia="Trebuchet MS" w:hAnsi="Trebuchet MS" w:cs="Trebuchet MS"/>
          <w:color w:val="000000"/>
          <w:lang w:val="sv-SE"/>
        </w:rPr>
        <w:t xml:space="preserve">2023. “Penguatan Etika Pemerintahan Sebagai Upaya Meningkatkan Kinerja Aparatur Pemerintahan.” </w:t>
      </w:r>
      <w:r w:rsidRPr="001F7452">
        <w:rPr>
          <w:rFonts w:ascii="Trebuchet MS" w:eastAsia="Trebuchet MS" w:hAnsi="Trebuchet MS" w:cs="Trebuchet MS"/>
          <w:i/>
          <w:iCs/>
          <w:color w:val="000000"/>
          <w:lang w:val="sv-SE"/>
        </w:rPr>
        <w:t>Jurnal Pemerintahan Dan Politik</w:t>
      </w:r>
      <w:r>
        <w:rPr>
          <w:rFonts w:ascii="Trebuchet MS" w:eastAsia="Trebuchet MS" w:hAnsi="Trebuchet MS" w:cs="Trebuchet MS"/>
          <w:i/>
          <w:iCs/>
          <w:color w:val="000000"/>
          <w:lang w:val="sv-SE"/>
        </w:rPr>
        <w:t>,</w:t>
      </w:r>
      <w:r w:rsidRPr="001F7452">
        <w:rPr>
          <w:rFonts w:ascii="Trebuchet MS" w:eastAsia="Trebuchet MS" w:hAnsi="Trebuchet MS" w:cs="Trebuchet MS"/>
          <w:color w:val="000000"/>
          <w:lang w:val="sv-SE"/>
        </w:rPr>
        <w:t xml:space="preserve"> 8(4):269–75. doi: 10.36982/jpg.v8i4.3416.</w:t>
      </w:r>
    </w:p>
    <w:p w14:paraId="1154AD1F"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en-ID"/>
        </w:rPr>
      </w:pPr>
      <w:r w:rsidRPr="001F7452">
        <w:rPr>
          <w:rFonts w:ascii="Trebuchet MS" w:eastAsia="Trebuchet MS" w:hAnsi="Trebuchet MS" w:cs="Trebuchet MS"/>
          <w:color w:val="000000"/>
          <w:lang w:val="en-ID"/>
        </w:rPr>
        <w:t xml:space="preserve">Amalia, </w:t>
      </w:r>
      <w:proofErr w:type="spellStart"/>
      <w:r w:rsidRPr="001F7452">
        <w:rPr>
          <w:rFonts w:ascii="Trebuchet MS" w:eastAsia="Trebuchet MS" w:hAnsi="Trebuchet MS" w:cs="Trebuchet MS"/>
          <w:color w:val="000000"/>
          <w:lang w:val="en-ID"/>
        </w:rPr>
        <w:t>Yusrina</w:t>
      </w:r>
      <w:proofErr w:type="spellEnd"/>
      <w:r w:rsidRPr="001F7452">
        <w:rPr>
          <w:rFonts w:ascii="Trebuchet MS" w:eastAsia="Trebuchet MS" w:hAnsi="Trebuchet MS" w:cs="Trebuchet MS"/>
          <w:color w:val="000000"/>
          <w:lang w:val="en-ID"/>
        </w:rPr>
        <w:t xml:space="preserve">, Diah Novita Nur Wulandari, </w:t>
      </w:r>
      <w:proofErr w:type="spellStart"/>
      <w:r w:rsidRPr="001F7452">
        <w:rPr>
          <w:rFonts w:ascii="Trebuchet MS" w:eastAsia="Trebuchet MS" w:hAnsi="Trebuchet MS" w:cs="Trebuchet MS"/>
          <w:color w:val="000000"/>
          <w:lang w:val="en-ID"/>
        </w:rPr>
        <w:t>Miswanto</w:t>
      </w:r>
      <w:proofErr w:type="spellEnd"/>
      <w:r w:rsidRPr="001F7452">
        <w:rPr>
          <w:rFonts w:ascii="Trebuchet MS" w:eastAsia="Trebuchet MS" w:hAnsi="Trebuchet MS" w:cs="Trebuchet MS"/>
          <w:color w:val="000000"/>
          <w:lang w:val="en-ID"/>
        </w:rPr>
        <w:t xml:space="preserve">, </w:t>
      </w:r>
      <w:proofErr w:type="spellStart"/>
      <w:r w:rsidRPr="001F7452">
        <w:rPr>
          <w:rFonts w:ascii="Trebuchet MS" w:eastAsia="Trebuchet MS" w:hAnsi="Trebuchet MS" w:cs="Trebuchet MS"/>
          <w:color w:val="000000"/>
          <w:lang w:val="en-ID"/>
        </w:rPr>
        <w:t>Frasto</w:t>
      </w:r>
      <w:proofErr w:type="spellEnd"/>
      <w:r w:rsidRPr="001F7452">
        <w:rPr>
          <w:rFonts w:ascii="Trebuchet MS" w:eastAsia="Trebuchet MS" w:hAnsi="Trebuchet MS" w:cs="Trebuchet MS"/>
          <w:color w:val="000000"/>
          <w:lang w:val="en-ID"/>
        </w:rPr>
        <w:t xml:space="preserve"> Biyanto, and Baldric Siregar. </w:t>
      </w:r>
      <w:r w:rsidRPr="001F7452">
        <w:rPr>
          <w:rFonts w:ascii="Trebuchet MS" w:eastAsia="Trebuchet MS" w:hAnsi="Trebuchet MS" w:cs="Trebuchet MS"/>
          <w:color w:val="000000"/>
          <w:lang w:val="sv-SE"/>
        </w:rPr>
        <w:t xml:space="preserve">2025. “Faktor-Faktor Yang Memengaruhi Minat Generasi Muda Bekerja Di Sektor Publik.” </w:t>
      </w:r>
      <w:proofErr w:type="spellStart"/>
      <w:r w:rsidRPr="001F7452">
        <w:rPr>
          <w:rFonts w:ascii="Trebuchet MS" w:eastAsia="Trebuchet MS" w:hAnsi="Trebuchet MS" w:cs="Trebuchet MS"/>
          <w:i/>
          <w:iCs/>
          <w:color w:val="000000"/>
          <w:lang w:val="en-ID"/>
        </w:rPr>
        <w:t>TheJournalish</w:t>
      </w:r>
      <w:proofErr w:type="spellEnd"/>
      <w:r w:rsidRPr="001F7452">
        <w:rPr>
          <w:rFonts w:ascii="Trebuchet MS" w:eastAsia="Trebuchet MS" w:hAnsi="Trebuchet MS" w:cs="Trebuchet MS"/>
          <w:i/>
          <w:iCs/>
          <w:color w:val="000000"/>
          <w:lang w:val="en-ID"/>
        </w:rPr>
        <w:t>: Social and Government</w:t>
      </w:r>
      <w:r w:rsidRPr="001F7452">
        <w:rPr>
          <w:rFonts w:ascii="Trebuchet MS" w:eastAsia="Trebuchet MS" w:hAnsi="Trebuchet MS" w:cs="Trebuchet MS"/>
          <w:color w:val="000000"/>
          <w:lang w:val="en-ID"/>
        </w:rPr>
        <w:t xml:space="preserve"> 6(3):330–43. </w:t>
      </w:r>
      <w:proofErr w:type="spellStart"/>
      <w:r w:rsidRPr="001F7452">
        <w:rPr>
          <w:rFonts w:ascii="Trebuchet MS" w:eastAsia="Trebuchet MS" w:hAnsi="Trebuchet MS" w:cs="Trebuchet MS"/>
          <w:color w:val="000000"/>
          <w:lang w:val="en-ID"/>
        </w:rPr>
        <w:t>doi</w:t>
      </w:r>
      <w:proofErr w:type="spellEnd"/>
      <w:r w:rsidRPr="001F7452">
        <w:rPr>
          <w:rFonts w:ascii="Trebuchet MS" w:eastAsia="Trebuchet MS" w:hAnsi="Trebuchet MS" w:cs="Trebuchet MS"/>
          <w:color w:val="000000"/>
          <w:lang w:val="en-ID"/>
        </w:rPr>
        <w:t>: 10.55314/</w:t>
      </w:r>
      <w:proofErr w:type="gramStart"/>
      <w:r w:rsidRPr="001F7452">
        <w:rPr>
          <w:rFonts w:ascii="Trebuchet MS" w:eastAsia="Trebuchet MS" w:hAnsi="Trebuchet MS" w:cs="Trebuchet MS"/>
          <w:color w:val="000000"/>
          <w:lang w:val="en-ID"/>
        </w:rPr>
        <w:t>tsg.v</w:t>
      </w:r>
      <w:proofErr w:type="gramEnd"/>
      <w:r w:rsidRPr="001F7452">
        <w:rPr>
          <w:rFonts w:ascii="Trebuchet MS" w:eastAsia="Trebuchet MS" w:hAnsi="Trebuchet MS" w:cs="Trebuchet MS"/>
          <w:color w:val="000000"/>
          <w:lang w:val="en-ID"/>
        </w:rPr>
        <w:t>6i3.1024.</w:t>
      </w:r>
    </w:p>
    <w:p w14:paraId="78822AD7"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en-ID"/>
        </w:rPr>
      </w:pPr>
      <w:r w:rsidRPr="001F7452">
        <w:rPr>
          <w:rFonts w:ascii="Trebuchet MS" w:eastAsia="Trebuchet MS" w:hAnsi="Trebuchet MS" w:cs="Trebuchet MS"/>
          <w:color w:val="000000"/>
          <w:lang w:val="en-ID"/>
        </w:rPr>
        <w:lastRenderedPageBreak/>
        <w:t>Ananda, Pretty Jenny, and Awan Santosa. 2024. “</w:t>
      </w:r>
      <w:proofErr w:type="spellStart"/>
      <w:r w:rsidRPr="001F7452">
        <w:rPr>
          <w:rFonts w:ascii="Trebuchet MS" w:eastAsia="Trebuchet MS" w:hAnsi="Trebuchet MS" w:cs="Trebuchet MS"/>
          <w:color w:val="000000"/>
          <w:lang w:val="en-ID"/>
        </w:rPr>
        <w:t>Pengaruh</w:t>
      </w:r>
      <w:proofErr w:type="spellEnd"/>
      <w:r w:rsidRPr="001F7452">
        <w:rPr>
          <w:rFonts w:ascii="Trebuchet MS" w:eastAsia="Trebuchet MS" w:hAnsi="Trebuchet MS" w:cs="Trebuchet MS"/>
          <w:color w:val="000000"/>
          <w:lang w:val="en-ID"/>
        </w:rPr>
        <w:t xml:space="preserve"> E-Recruitment, Media Sosial, Dan Employer Branding </w:t>
      </w:r>
      <w:proofErr w:type="spellStart"/>
      <w:r w:rsidRPr="001F7452">
        <w:rPr>
          <w:rFonts w:ascii="Trebuchet MS" w:eastAsia="Trebuchet MS" w:hAnsi="Trebuchet MS" w:cs="Trebuchet MS"/>
          <w:color w:val="000000"/>
          <w:lang w:val="en-ID"/>
        </w:rPr>
        <w:t>Terhadap</w:t>
      </w:r>
      <w:proofErr w:type="spellEnd"/>
      <w:r w:rsidRPr="001F7452">
        <w:rPr>
          <w:rFonts w:ascii="Trebuchet MS" w:eastAsia="Trebuchet MS" w:hAnsi="Trebuchet MS" w:cs="Trebuchet MS"/>
          <w:color w:val="000000"/>
          <w:lang w:val="en-ID"/>
        </w:rPr>
        <w:t xml:space="preserve"> Minat </w:t>
      </w:r>
      <w:proofErr w:type="spellStart"/>
      <w:r w:rsidRPr="001F7452">
        <w:rPr>
          <w:rFonts w:ascii="Trebuchet MS" w:eastAsia="Trebuchet MS" w:hAnsi="Trebuchet MS" w:cs="Trebuchet MS"/>
          <w:color w:val="000000"/>
          <w:lang w:val="en-ID"/>
        </w:rPr>
        <w:t>Generasi</w:t>
      </w:r>
      <w:proofErr w:type="spellEnd"/>
      <w:r w:rsidRPr="001F7452">
        <w:rPr>
          <w:rFonts w:ascii="Trebuchet MS" w:eastAsia="Trebuchet MS" w:hAnsi="Trebuchet MS" w:cs="Trebuchet MS"/>
          <w:color w:val="000000"/>
          <w:lang w:val="en-ID"/>
        </w:rPr>
        <w:t xml:space="preserve"> Z </w:t>
      </w:r>
      <w:proofErr w:type="spellStart"/>
      <w:r w:rsidRPr="001F7452">
        <w:rPr>
          <w:rFonts w:ascii="Trebuchet MS" w:eastAsia="Trebuchet MS" w:hAnsi="Trebuchet MS" w:cs="Trebuchet MS"/>
          <w:color w:val="000000"/>
          <w:lang w:val="en-ID"/>
        </w:rPr>
        <w:t>Untuk</w:t>
      </w:r>
      <w:proofErr w:type="spellEnd"/>
      <w:r w:rsidRPr="001F7452">
        <w:rPr>
          <w:rFonts w:ascii="Trebuchet MS" w:eastAsia="Trebuchet MS" w:hAnsi="Trebuchet MS" w:cs="Trebuchet MS"/>
          <w:color w:val="000000"/>
          <w:lang w:val="en-ID"/>
        </w:rPr>
        <w:t xml:space="preserve"> </w:t>
      </w:r>
      <w:proofErr w:type="spellStart"/>
      <w:r w:rsidRPr="001F7452">
        <w:rPr>
          <w:rFonts w:ascii="Trebuchet MS" w:eastAsia="Trebuchet MS" w:hAnsi="Trebuchet MS" w:cs="Trebuchet MS"/>
          <w:color w:val="000000"/>
          <w:lang w:val="en-ID"/>
        </w:rPr>
        <w:t>Melamar</w:t>
      </w:r>
      <w:proofErr w:type="spellEnd"/>
      <w:r w:rsidRPr="001F7452">
        <w:rPr>
          <w:rFonts w:ascii="Trebuchet MS" w:eastAsia="Trebuchet MS" w:hAnsi="Trebuchet MS" w:cs="Trebuchet MS"/>
          <w:color w:val="000000"/>
          <w:lang w:val="en-ID"/>
        </w:rPr>
        <w:t xml:space="preserve"> </w:t>
      </w:r>
      <w:proofErr w:type="spellStart"/>
      <w:r w:rsidRPr="001F7452">
        <w:rPr>
          <w:rFonts w:ascii="Trebuchet MS" w:eastAsia="Trebuchet MS" w:hAnsi="Trebuchet MS" w:cs="Trebuchet MS"/>
          <w:color w:val="000000"/>
          <w:lang w:val="en-ID"/>
        </w:rPr>
        <w:t>Pekerjaan</w:t>
      </w:r>
      <w:proofErr w:type="spellEnd"/>
      <w:r w:rsidRPr="001F7452">
        <w:rPr>
          <w:rFonts w:ascii="Trebuchet MS" w:eastAsia="Trebuchet MS" w:hAnsi="Trebuchet MS" w:cs="Trebuchet MS"/>
          <w:color w:val="000000"/>
          <w:lang w:val="en-ID"/>
        </w:rPr>
        <w:t xml:space="preserve">.” </w:t>
      </w:r>
      <w:r w:rsidRPr="001F7452">
        <w:rPr>
          <w:rFonts w:ascii="Trebuchet MS" w:eastAsia="Trebuchet MS" w:hAnsi="Trebuchet MS" w:cs="Trebuchet MS"/>
          <w:i/>
          <w:iCs/>
          <w:color w:val="000000"/>
          <w:lang w:val="en-ID"/>
        </w:rPr>
        <w:t>Journal of Business and Halal Industry</w:t>
      </w:r>
      <w:r w:rsidRPr="001F7452">
        <w:rPr>
          <w:rFonts w:ascii="Trebuchet MS" w:eastAsia="Trebuchet MS" w:hAnsi="Trebuchet MS" w:cs="Trebuchet MS"/>
          <w:color w:val="000000"/>
          <w:lang w:val="en-ID"/>
        </w:rPr>
        <w:t xml:space="preserve"> 1(3):1–16. </w:t>
      </w:r>
      <w:proofErr w:type="spellStart"/>
      <w:r w:rsidRPr="001F7452">
        <w:rPr>
          <w:rFonts w:ascii="Trebuchet MS" w:eastAsia="Trebuchet MS" w:hAnsi="Trebuchet MS" w:cs="Trebuchet MS"/>
          <w:color w:val="000000"/>
          <w:lang w:val="en-ID"/>
        </w:rPr>
        <w:t>doi</w:t>
      </w:r>
      <w:proofErr w:type="spellEnd"/>
      <w:r w:rsidRPr="001F7452">
        <w:rPr>
          <w:rFonts w:ascii="Trebuchet MS" w:eastAsia="Trebuchet MS" w:hAnsi="Trebuchet MS" w:cs="Trebuchet MS"/>
          <w:color w:val="000000"/>
          <w:lang w:val="en-ID"/>
        </w:rPr>
        <w:t>: 10.47134/</w:t>
      </w:r>
      <w:proofErr w:type="gramStart"/>
      <w:r w:rsidRPr="001F7452">
        <w:rPr>
          <w:rFonts w:ascii="Trebuchet MS" w:eastAsia="Trebuchet MS" w:hAnsi="Trebuchet MS" w:cs="Trebuchet MS"/>
          <w:color w:val="000000"/>
          <w:lang w:val="en-ID"/>
        </w:rPr>
        <w:t>jbhi.v</w:t>
      </w:r>
      <w:proofErr w:type="gramEnd"/>
      <w:r w:rsidRPr="001F7452">
        <w:rPr>
          <w:rFonts w:ascii="Trebuchet MS" w:eastAsia="Trebuchet MS" w:hAnsi="Trebuchet MS" w:cs="Trebuchet MS"/>
          <w:color w:val="000000"/>
          <w:lang w:val="en-ID"/>
        </w:rPr>
        <w:t>1i3.176.</w:t>
      </w:r>
    </w:p>
    <w:p w14:paraId="34B27D3B"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Budiman, Aditya Ferlan Farhanuddin, Astri Ayulia Putri Setia, and Diella Jauza. 2022. “Penerapan Etika Pelayanan Publik Dalam Mewujudkan Good Governance.” </w:t>
      </w:r>
      <w:r w:rsidRPr="001F7452">
        <w:rPr>
          <w:rFonts w:ascii="Trebuchet MS" w:eastAsia="Trebuchet MS" w:hAnsi="Trebuchet MS" w:cs="Trebuchet MS"/>
          <w:i/>
          <w:iCs/>
          <w:color w:val="000000"/>
          <w:lang w:val="sv-SE"/>
        </w:rPr>
        <w:t>Jurnal DIALEKTIKA</w:t>
      </w:r>
      <w:r w:rsidRPr="001F7452">
        <w:rPr>
          <w:rFonts w:ascii="Arial" w:eastAsia="Trebuchet MS" w:hAnsi="Arial" w:cs="Arial"/>
          <w:i/>
          <w:iCs/>
          <w:color w:val="000000"/>
          <w:lang w:val="sv-SE"/>
        </w:rPr>
        <w:t> </w:t>
      </w:r>
      <w:r w:rsidRPr="001F7452">
        <w:rPr>
          <w:rFonts w:ascii="Trebuchet MS" w:eastAsia="Trebuchet MS" w:hAnsi="Trebuchet MS" w:cs="Trebuchet MS"/>
          <w:i/>
          <w:iCs/>
          <w:color w:val="000000"/>
          <w:lang w:val="sv-SE"/>
        </w:rPr>
        <w:t>: Jurnal Ilmu Sosial</w:t>
      </w:r>
      <w:r w:rsidRPr="001F7452">
        <w:rPr>
          <w:rFonts w:ascii="Trebuchet MS" w:eastAsia="Trebuchet MS" w:hAnsi="Trebuchet MS" w:cs="Trebuchet MS"/>
          <w:color w:val="000000"/>
          <w:lang w:val="sv-SE"/>
        </w:rPr>
        <w:t xml:space="preserve"> 19(1):64–74.</w:t>
      </w:r>
    </w:p>
    <w:p w14:paraId="3E7B157A"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proofErr w:type="spellStart"/>
      <w:r w:rsidRPr="001F7452">
        <w:rPr>
          <w:rFonts w:ascii="Trebuchet MS" w:eastAsia="Trebuchet MS" w:hAnsi="Trebuchet MS" w:cs="Trebuchet MS"/>
          <w:color w:val="000000"/>
          <w:lang w:val="en-ID"/>
        </w:rPr>
        <w:t>Choirulsyah</w:t>
      </w:r>
      <w:proofErr w:type="spellEnd"/>
      <w:r w:rsidRPr="001F7452">
        <w:rPr>
          <w:rFonts w:ascii="Trebuchet MS" w:eastAsia="Trebuchet MS" w:hAnsi="Trebuchet MS" w:cs="Trebuchet MS"/>
          <w:color w:val="000000"/>
          <w:lang w:val="en-ID"/>
        </w:rPr>
        <w:t xml:space="preserve">, Darmawan, and Azhar </w:t>
      </w:r>
      <w:proofErr w:type="spellStart"/>
      <w:r w:rsidRPr="001F7452">
        <w:rPr>
          <w:rFonts w:ascii="Trebuchet MS" w:eastAsia="Trebuchet MS" w:hAnsi="Trebuchet MS" w:cs="Trebuchet MS"/>
          <w:color w:val="000000"/>
          <w:lang w:val="en-ID"/>
        </w:rPr>
        <w:t>Azhar</w:t>
      </w:r>
      <w:proofErr w:type="spellEnd"/>
      <w:r w:rsidRPr="001F7452">
        <w:rPr>
          <w:rFonts w:ascii="Trebuchet MS" w:eastAsia="Trebuchet MS" w:hAnsi="Trebuchet MS" w:cs="Trebuchet MS"/>
          <w:color w:val="000000"/>
          <w:lang w:val="en-ID"/>
        </w:rPr>
        <w:t xml:space="preserve">. </w:t>
      </w:r>
      <w:r w:rsidRPr="001F7452">
        <w:rPr>
          <w:rFonts w:ascii="Trebuchet MS" w:eastAsia="Trebuchet MS" w:hAnsi="Trebuchet MS" w:cs="Trebuchet MS"/>
          <w:color w:val="000000"/>
          <w:lang w:val="sv-SE"/>
        </w:rPr>
        <w:t>2024. “Implementasi Etika Administrasi Publik</w:t>
      </w:r>
      <w:r w:rsidRPr="001F7452">
        <w:rPr>
          <w:rFonts w:ascii="Arial" w:eastAsia="Trebuchet MS" w:hAnsi="Arial" w:cs="Arial"/>
          <w:color w:val="000000"/>
          <w:lang w:val="sv-SE"/>
        </w:rPr>
        <w:t> </w:t>
      </w:r>
      <w:r w:rsidRPr="001F7452">
        <w:rPr>
          <w:rFonts w:ascii="Trebuchet MS" w:eastAsia="Trebuchet MS" w:hAnsi="Trebuchet MS" w:cs="Trebuchet MS"/>
          <w:color w:val="000000"/>
          <w:lang w:val="sv-SE"/>
        </w:rPr>
        <w:t xml:space="preserve">: Langkah Utama Dalam Menciptakan Good Governance Di Indonesia.” </w:t>
      </w:r>
      <w:r w:rsidRPr="001F7452">
        <w:rPr>
          <w:rFonts w:ascii="Trebuchet MS" w:eastAsia="Trebuchet MS" w:hAnsi="Trebuchet MS" w:cs="Trebuchet MS"/>
          <w:i/>
          <w:iCs/>
          <w:color w:val="000000"/>
          <w:lang w:val="sv-SE"/>
        </w:rPr>
        <w:t>Jurnal Pemerintahan Dan Politik</w:t>
      </w:r>
      <w:r w:rsidRPr="001F7452">
        <w:rPr>
          <w:rFonts w:ascii="Trebuchet MS" w:eastAsia="Trebuchet MS" w:hAnsi="Trebuchet MS" w:cs="Trebuchet MS"/>
          <w:color w:val="000000"/>
          <w:lang w:val="sv-SE"/>
        </w:rPr>
        <w:t xml:space="preserve"> 9(3):195–203. doi: 10.36982/jpg.v9i3.3757.</w:t>
      </w:r>
    </w:p>
    <w:p w14:paraId="12F3C962"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Fanani, Muh Asdig, and Lina Miftahul Jannah. 2025. “Perencanaan Sumber Daya Manusia Sektor Publik</w:t>
      </w:r>
      <w:r w:rsidRPr="001F7452">
        <w:rPr>
          <w:rFonts w:ascii="Arial" w:eastAsia="Trebuchet MS" w:hAnsi="Arial" w:cs="Arial"/>
          <w:color w:val="000000"/>
          <w:lang w:val="sv-SE"/>
        </w:rPr>
        <w:t> </w:t>
      </w:r>
      <w:r w:rsidRPr="001F7452">
        <w:rPr>
          <w:rFonts w:ascii="Trebuchet MS" w:eastAsia="Trebuchet MS" w:hAnsi="Trebuchet MS" w:cs="Trebuchet MS"/>
          <w:color w:val="000000"/>
          <w:lang w:val="sv-SE"/>
        </w:rPr>
        <w:t xml:space="preserve">: Strategi Adaptif Untuk Generasi Milenial Dan Z.” </w:t>
      </w:r>
      <w:r w:rsidRPr="001F7452">
        <w:rPr>
          <w:rFonts w:ascii="Trebuchet MS" w:eastAsia="Trebuchet MS" w:hAnsi="Trebuchet MS" w:cs="Trebuchet MS"/>
          <w:i/>
          <w:iCs/>
          <w:color w:val="000000"/>
          <w:lang w:val="sv-SE"/>
        </w:rPr>
        <w:t>Jurnal Pemerintahan Dan Politik</w:t>
      </w:r>
      <w:r w:rsidRPr="001F7452">
        <w:rPr>
          <w:rFonts w:ascii="Trebuchet MS" w:eastAsia="Trebuchet MS" w:hAnsi="Trebuchet MS" w:cs="Trebuchet MS"/>
          <w:color w:val="000000"/>
          <w:lang w:val="sv-SE"/>
        </w:rPr>
        <w:t xml:space="preserve"> 10(4):779–96.</w:t>
      </w:r>
    </w:p>
    <w:p w14:paraId="2D8162D5"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Firdauzi, Ali Muhammad, Dzaky Syauqi Ariesya, Nandita Ramadhani, and Santyka Situmorang. 2025. “Pengaruh Persepsi Stabilitas Kerja, Lingkungan Sosial, Dan Citra Pemerintah Terhadap Minat Mahasiswa Gen Z Menjadi Aparatur Sipil Negara.”</w:t>
      </w:r>
    </w:p>
    <w:p w14:paraId="57B961FD"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Fransiska, Winda, M. Naufal Riski Fathurrahman Pratama, Jumiati Jumiati, and Boni Saputra. 2025. “Kajian Literatur Model Administrasi Integratif Dalam Hubungan Antara Struktur Organisasi, Sistem Negara, Dan Nilai-Nilai Publik.” </w:t>
      </w:r>
      <w:r w:rsidRPr="001F7452">
        <w:rPr>
          <w:rFonts w:ascii="Trebuchet MS" w:eastAsia="Trebuchet MS" w:hAnsi="Trebuchet MS" w:cs="Trebuchet MS"/>
          <w:i/>
          <w:iCs/>
          <w:color w:val="000000"/>
          <w:lang w:val="sv-SE"/>
        </w:rPr>
        <w:t>Jurnal Penelitian Inovatif</w:t>
      </w:r>
      <w:r w:rsidRPr="001F7452">
        <w:rPr>
          <w:rFonts w:ascii="Trebuchet MS" w:eastAsia="Trebuchet MS" w:hAnsi="Trebuchet MS" w:cs="Trebuchet MS"/>
          <w:color w:val="000000"/>
          <w:lang w:val="sv-SE"/>
        </w:rPr>
        <w:t xml:space="preserve"> 5(2):1391–1400. doi: 10.54082/jupin.1473.</w:t>
      </w:r>
    </w:p>
    <w:p w14:paraId="7DF1143A"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Habsy, Bakhrudin All. 2017. “Seni Memehami Penelitian Kuliatatif Dalam Bimbingan Dan Konseling</w:t>
      </w:r>
      <w:r w:rsidRPr="001F7452">
        <w:rPr>
          <w:rFonts w:ascii="Arial" w:eastAsia="Trebuchet MS" w:hAnsi="Arial" w:cs="Arial"/>
          <w:color w:val="000000"/>
          <w:lang w:val="sv-SE"/>
        </w:rPr>
        <w:t> </w:t>
      </w:r>
      <w:r w:rsidRPr="001F7452">
        <w:rPr>
          <w:rFonts w:ascii="Trebuchet MS" w:eastAsia="Trebuchet MS" w:hAnsi="Trebuchet MS" w:cs="Trebuchet MS"/>
          <w:color w:val="000000"/>
          <w:lang w:val="sv-SE"/>
        </w:rPr>
        <w:t xml:space="preserve">: Studi Literatur.” </w:t>
      </w:r>
      <w:r w:rsidRPr="001F7452">
        <w:rPr>
          <w:rFonts w:ascii="Trebuchet MS" w:eastAsia="Trebuchet MS" w:hAnsi="Trebuchet MS" w:cs="Trebuchet MS"/>
          <w:i/>
          <w:iCs/>
          <w:color w:val="000000"/>
          <w:lang w:val="sv-SE"/>
        </w:rPr>
        <w:t>JURKAM: Jurnal Konseling Andi Matappa</w:t>
      </w:r>
      <w:r w:rsidRPr="001F7452">
        <w:rPr>
          <w:rFonts w:ascii="Trebuchet MS" w:eastAsia="Trebuchet MS" w:hAnsi="Trebuchet MS" w:cs="Trebuchet MS"/>
          <w:color w:val="000000"/>
          <w:lang w:val="sv-SE"/>
        </w:rPr>
        <w:t xml:space="preserve"> 1(2):90–100. doi: 10.31100/jurkam.v1i2.56.</w:t>
      </w:r>
    </w:p>
    <w:p w14:paraId="24A1F5CD"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en-ID"/>
        </w:rPr>
        <w:t xml:space="preserve">Hadi, Nanang </w:t>
      </w:r>
      <w:proofErr w:type="spellStart"/>
      <w:r w:rsidRPr="001F7452">
        <w:rPr>
          <w:rFonts w:ascii="Trebuchet MS" w:eastAsia="Trebuchet MS" w:hAnsi="Trebuchet MS" w:cs="Trebuchet MS"/>
          <w:color w:val="000000"/>
          <w:lang w:val="en-ID"/>
        </w:rPr>
        <w:t>Fasiol</w:t>
      </w:r>
      <w:proofErr w:type="spellEnd"/>
      <w:r w:rsidRPr="001F7452">
        <w:rPr>
          <w:rFonts w:ascii="Trebuchet MS" w:eastAsia="Trebuchet MS" w:hAnsi="Trebuchet MS" w:cs="Trebuchet MS"/>
          <w:color w:val="000000"/>
          <w:lang w:val="en-ID"/>
        </w:rPr>
        <w:t xml:space="preserve">, and Nur </w:t>
      </w:r>
      <w:proofErr w:type="spellStart"/>
      <w:r w:rsidRPr="001F7452">
        <w:rPr>
          <w:rFonts w:ascii="Trebuchet MS" w:eastAsia="Trebuchet MS" w:hAnsi="Trebuchet MS" w:cs="Trebuchet MS"/>
          <w:color w:val="000000"/>
          <w:lang w:val="en-ID"/>
        </w:rPr>
        <w:t>Kholik</w:t>
      </w:r>
      <w:proofErr w:type="spellEnd"/>
      <w:r w:rsidRPr="001F7452">
        <w:rPr>
          <w:rFonts w:ascii="Trebuchet MS" w:eastAsia="Trebuchet MS" w:hAnsi="Trebuchet MS" w:cs="Trebuchet MS"/>
          <w:color w:val="000000"/>
          <w:lang w:val="en-ID"/>
        </w:rPr>
        <w:t xml:space="preserve"> Afandi. 2021. “Literature Review Is </w:t>
      </w:r>
      <w:proofErr w:type="gramStart"/>
      <w:r w:rsidRPr="001F7452">
        <w:rPr>
          <w:rFonts w:ascii="Trebuchet MS" w:eastAsia="Trebuchet MS" w:hAnsi="Trebuchet MS" w:cs="Trebuchet MS"/>
          <w:color w:val="000000"/>
          <w:lang w:val="en-ID"/>
        </w:rPr>
        <w:t>A</w:t>
      </w:r>
      <w:proofErr w:type="gramEnd"/>
      <w:r w:rsidRPr="001F7452">
        <w:rPr>
          <w:rFonts w:ascii="Trebuchet MS" w:eastAsia="Trebuchet MS" w:hAnsi="Trebuchet MS" w:cs="Trebuchet MS"/>
          <w:color w:val="000000"/>
          <w:lang w:val="en-ID"/>
        </w:rPr>
        <w:t xml:space="preserve"> Part of Research.” </w:t>
      </w:r>
      <w:r w:rsidRPr="001F7452">
        <w:rPr>
          <w:rFonts w:ascii="Trebuchet MS" w:eastAsia="Trebuchet MS" w:hAnsi="Trebuchet MS" w:cs="Trebuchet MS"/>
          <w:i/>
          <w:iCs/>
          <w:color w:val="000000"/>
          <w:lang w:val="sv-SE"/>
        </w:rPr>
        <w:t>Sultra Educational Journal 1</w:t>
      </w:r>
      <w:r w:rsidRPr="001F7452">
        <w:rPr>
          <w:rFonts w:ascii="Trebuchet MS" w:eastAsia="Trebuchet MS" w:hAnsi="Trebuchet MS" w:cs="Trebuchet MS"/>
          <w:color w:val="000000"/>
          <w:lang w:val="sv-SE"/>
        </w:rPr>
        <w:t>(3):64–71.</w:t>
      </w:r>
    </w:p>
    <w:p w14:paraId="745F6F58"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Kesumah, Priatna. 2025. “Pengaruh Employer Branding Terhadap Minat Generasi Z Dalam Memilih Tempat Kerja.” </w:t>
      </w:r>
      <w:r w:rsidRPr="001F7452">
        <w:rPr>
          <w:rFonts w:ascii="Trebuchet MS" w:eastAsia="Trebuchet MS" w:hAnsi="Trebuchet MS" w:cs="Trebuchet MS"/>
          <w:i/>
          <w:iCs/>
          <w:color w:val="000000"/>
          <w:lang w:val="sv-SE"/>
        </w:rPr>
        <w:t>JURNAL EKONOMI BISNIS DAN MANAJEMEN</w:t>
      </w:r>
      <w:r w:rsidRPr="001F7452">
        <w:rPr>
          <w:rFonts w:ascii="Trebuchet MS" w:eastAsia="Trebuchet MS" w:hAnsi="Trebuchet MS" w:cs="Trebuchet MS"/>
          <w:color w:val="000000"/>
          <w:lang w:val="sv-SE"/>
        </w:rPr>
        <w:t xml:space="preserve"> (EKO-BISMA) 4(1):358–64.</w:t>
      </w:r>
    </w:p>
    <w:p w14:paraId="0C3F73D0"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Manurung, Gerson, Catarina Manurung, Lukman Hakim Sangapan, and Adler Haymans Manurung. 2025. “Tren Dan Isu Dalam Manajemen SDM Di Sektor Publik: Studi Literatur.” </w:t>
      </w:r>
      <w:r w:rsidRPr="001F7452">
        <w:rPr>
          <w:rFonts w:ascii="Trebuchet MS" w:eastAsia="Trebuchet MS" w:hAnsi="Trebuchet MS" w:cs="Trebuchet MS"/>
          <w:i/>
          <w:iCs/>
          <w:color w:val="000000"/>
          <w:lang w:val="sv-SE"/>
        </w:rPr>
        <w:t>JURNAL STRATEGI DAN SUMBER DAYA MANUSIA</w:t>
      </w:r>
      <w:r w:rsidRPr="001F7452">
        <w:rPr>
          <w:rFonts w:ascii="Trebuchet MS" w:eastAsia="Trebuchet MS" w:hAnsi="Trebuchet MS" w:cs="Trebuchet MS"/>
          <w:color w:val="000000"/>
          <w:lang w:val="sv-SE"/>
        </w:rPr>
        <w:t xml:space="preserve"> 1(1):48–58.</w:t>
      </w:r>
    </w:p>
    <w:p w14:paraId="794ABB51"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Oktari, Yogi, Lely Indah Mindarti, and Sujarwoto. 2023. “Urgensi Etika Pejabat Publik Dan Peranan Generasi Z Dalam Studi Administrasi Publik.” </w:t>
      </w:r>
      <w:r w:rsidRPr="001F7452">
        <w:rPr>
          <w:rFonts w:ascii="Trebuchet MS" w:eastAsia="Trebuchet MS" w:hAnsi="Trebuchet MS" w:cs="Trebuchet MS"/>
          <w:i/>
          <w:iCs/>
          <w:color w:val="000000"/>
          <w:lang w:val="sv-SE"/>
        </w:rPr>
        <w:t>Jurnal Ilmiah Administrasi Publik (JIAP)</w:t>
      </w:r>
      <w:r w:rsidRPr="001F7452">
        <w:rPr>
          <w:rFonts w:ascii="Trebuchet MS" w:eastAsia="Trebuchet MS" w:hAnsi="Trebuchet MS" w:cs="Trebuchet MS"/>
          <w:color w:val="000000"/>
          <w:lang w:val="sv-SE"/>
        </w:rPr>
        <w:t xml:space="preserve"> 9(1):11–20.</w:t>
      </w:r>
    </w:p>
    <w:p w14:paraId="4300FA94"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Pambudi, Aula. 2025. “Persimpangan Generasi Dalam Birokrasi: Dinamika Dan Tantangan Pengelolaan ASN Muda.” </w:t>
      </w:r>
      <w:r w:rsidRPr="001F7452">
        <w:rPr>
          <w:rFonts w:ascii="Trebuchet MS" w:eastAsia="Trebuchet MS" w:hAnsi="Trebuchet MS" w:cs="Trebuchet MS"/>
          <w:i/>
          <w:iCs/>
          <w:color w:val="000000"/>
          <w:lang w:val="sv-SE"/>
        </w:rPr>
        <w:t>Jurnal Sosial Dan Sains</w:t>
      </w:r>
      <w:r w:rsidRPr="001F7452">
        <w:rPr>
          <w:rFonts w:ascii="Trebuchet MS" w:eastAsia="Trebuchet MS" w:hAnsi="Trebuchet MS" w:cs="Trebuchet MS"/>
          <w:color w:val="000000"/>
          <w:lang w:val="sv-SE"/>
        </w:rPr>
        <w:t xml:space="preserve"> 5(7):2317–29. doi: 10.59188/jurnalsosains.v5i7.32394.</w:t>
      </w:r>
    </w:p>
    <w:p w14:paraId="1799C5D4"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Prasasti, Alikha Novanka, Dwi Ramadhan, and Melisa Br Surbakti. 2024. “Analisis Penerapan Praktik Flexibility Working Arrangement (FWA) Dalam Peningkatan Minat Generasi Z Menjadi Aparatur Sipil Negara.” </w:t>
      </w:r>
      <w:r w:rsidRPr="001F7452">
        <w:rPr>
          <w:rFonts w:ascii="Trebuchet MS" w:eastAsia="Trebuchet MS" w:hAnsi="Trebuchet MS" w:cs="Trebuchet MS"/>
          <w:i/>
          <w:iCs/>
          <w:color w:val="000000"/>
          <w:lang w:val="sv-SE"/>
        </w:rPr>
        <w:t>JIIP - Jurnal Ilmiah Ilmu Pendidikan</w:t>
      </w:r>
      <w:r w:rsidRPr="001F7452">
        <w:rPr>
          <w:rFonts w:ascii="Trebuchet MS" w:eastAsia="Trebuchet MS" w:hAnsi="Trebuchet MS" w:cs="Trebuchet MS"/>
          <w:color w:val="000000"/>
          <w:lang w:val="sv-SE"/>
        </w:rPr>
        <w:t xml:space="preserve"> 7(7):6855–64. doi: 10.54371/jiip.v7i7.4738.</w:t>
      </w:r>
    </w:p>
    <w:p w14:paraId="01470320"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lastRenderedPageBreak/>
        <w:t>Rizaty, Monavia Ayu. 2021. “Mayoritas Pemuda Bekerja Di Sektor Jasa Berpenghasilan Rp 1 Juta Hingga Kurang Dari Rp 2 Juta.” Katadata. Retrieved (https://databoks.katadata.co.id/ketenagakerjaan/statistik/7b8808bee3af1c5/mayoritas-pemuda-bekerja-di-sektor-jasa-berpenghasilan-rp-1-juta-hingga-kurang-dari-rp-2-juta).</w:t>
      </w:r>
    </w:p>
    <w:p w14:paraId="1C4FA371"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Seno, Ramadhani Haryo. 2022. “Menuju Manajemen Talenta Sektor Publik: Faktor Yang Memengaruhi, Tantangan, Dan Strategi.” </w:t>
      </w:r>
      <w:r w:rsidRPr="001F7452">
        <w:rPr>
          <w:rFonts w:ascii="Trebuchet MS" w:eastAsia="Trebuchet MS" w:hAnsi="Trebuchet MS" w:cs="Trebuchet MS"/>
          <w:i/>
          <w:iCs/>
          <w:color w:val="000000"/>
          <w:lang w:val="sv-SE"/>
        </w:rPr>
        <w:t>Jurnal Wacana Kinerja</w:t>
      </w:r>
      <w:r w:rsidRPr="001F7452">
        <w:rPr>
          <w:rFonts w:ascii="Trebuchet MS" w:eastAsia="Trebuchet MS" w:hAnsi="Trebuchet MS" w:cs="Trebuchet MS"/>
          <w:color w:val="000000"/>
          <w:lang w:val="sv-SE"/>
        </w:rPr>
        <w:t xml:space="preserve"> 25(2):159–84. doi: 10.31845/jwk.v25i2.742.</w:t>
      </w:r>
    </w:p>
    <w:p w14:paraId="363DDE19"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en-ID"/>
        </w:rPr>
      </w:pPr>
      <w:r w:rsidRPr="001F7452">
        <w:rPr>
          <w:rFonts w:ascii="Trebuchet MS" w:eastAsia="Trebuchet MS" w:hAnsi="Trebuchet MS" w:cs="Trebuchet MS"/>
          <w:color w:val="000000"/>
          <w:lang w:val="sv-SE"/>
        </w:rPr>
        <w:t xml:space="preserve">Solihin, Dwi Indah Yuliani, and Asna Aneta. </w:t>
      </w:r>
      <w:r w:rsidRPr="001F7452">
        <w:rPr>
          <w:rFonts w:ascii="Trebuchet MS" w:eastAsia="Trebuchet MS" w:hAnsi="Trebuchet MS" w:cs="Trebuchet MS"/>
          <w:color w:val="000000"/>
          <w:lang w:val="en-ID"/>
        </w:rPr>
        <w:t xml:space="preserve">2021. “Millennial Leadership Style of Public Services in The Society 5.0 Era.” </w:t>
      </w:r>
      <w:r w:rsidRPr="001F7452">
        <w:rPr>
          <w:rFonts w:ascii="Trebuchet MS" w:eastAsia="Trebuchet MS" w:hAnsi="Trebuchet MS" w:cs="Trebuchet MS"/>
          <w:i/>
          <w:iCs/>
          <w:color w:val="000000"/>
          <w:lang w:val="en-ID"/>
        </w:rPr>
        <w:t>Publik (</w:t>
      </w:r>
      <w:proofErr w:type="spellStart"/>
      <w:r w:rsidRPr="001F7452">
        <w:rPr>
          <w:rFonts w:ascii="Trebuchet MS" w:eastAsia="Trebuchet MS" w:hAnsi="Trebuchet MS" w:cs="Trebuchet MS"/>
          <w:i/>
          <w:iCs/>
          <w:color w:val="000000"/>
          <w:lang w:val="en-ID"/>
        </w:rPr>
        <w:t>Jurnal</w:t>
      </w:r>
      <w:proofErr w:type="spellEnd"/>
      <w:r w:rsidRPr="001F7452">
        <w:rPr>
          <w:rFonts w:ascii="Trebuchet MS" w:eastAsia="Trebuchet MS" w:hAnsi="Trebuchet MS" w:cs="Trebuchet MS"/>
          <w:i/>
          <w:iCs/>
          <w:color w:val="000000"/>
          <w:lang w:val="en-ID"/>
        </w:rPr>
        <w:t xml:space="preserve"> </w:t>
      </w:r>
      <w:proofErr w:type="spellStart"/>
      <w:r w:rsidRPr="001F7452">
        <w:rPr>
          <w:rFonts w:ascii="Trebuchet MS" w:eastAsia="Trebuchet MS" w:hAnsi="Trebuchet MS" w:cs="Trebuchet MS"/>
          <w:i/>
          <w:iCs/>
          <w:color w:val="000000"/>
          <w:lang w:val="en-ID"/>
        </w:rPr>
        <w:t>Ilmu</w:t>
      </w:r>
      <w:proofErr w:type="spellEnd"/>
      <w:r w:rsidRPr="001F7452">
        <w:rPr>
          <w:rFonts w:ascii="Trebuchet MS" w:eastAsia="Trebuchet MS" w:hAnsi="Trebuchet MS" w:cs="Trebuchet MS"/>
          <w:i/>
          <w:iCs/>
          <w:color w:val="000000"/>
          <w:lang w:val="en-ID"/>
        </w:rPr>
        <w:t xml:space="preserve"> </w:t>
      </w:r>
      <w:proofErr w:type="spellStart"/>
      <w:r w:rsidRPr="001F7452">
        <w:rPr>
          <w:rFonts w:ascii="Trebuchet MS" w:eastAsia="Trebuchet MS" w:hAnsi="Trebuchet MS" w:cs="Trebuchet MS"/>
          <w:i/>
          <w:iCs/>
          <w:color w:val="000000"/>
          <w:lang w:val="en-ID"/>
        </w:rPr>
        <w:t>Administrasi</w:t>
      </w:r>
      <w:proofErr w:type="spellEnd"/>
      <w:r w:rsidRPr="001F7452">
        <w:rPr>
          <w:rFonts w:ascii="Trebuchet MS" w:eastAsia="Trebuchet MS" w:hAnsi="Trebuchet MS" w:cs="Trebuchet MS"/>
          <w:color w:val="000000"/>
          <w:lang w:val="en-ID"/>
        </w:rPr>
        <w:t>) 10(2):398–407.</w:t>
      </w:r>
    </w:p>
    <w:p w14:paraId="7E7E4553"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en-ID"/>
        </w:rPr>
      </w:pPr>
      <w:r w:rsidRPr="001F7452">
        <w:rPr>
          <w:rFonts w:ascii="Trebuchet MS" w:eastAsia="Trebuchet MS" w:hAnsi="Trebuchet MS" w:cs="Trebuchet MS"/>
          <w:color w:val="000000"/>
          <w:lang w:val="en-ID"/>
        </w:rPr>
        <w:t xml:space="preserve">Tavares, Gustavo M., Filipe Sobral, and Bradley E. Wright. 2021. “Commitment to Public Values, Charismatic Leadership Attributions, and Employee Turnover in Street-Level Bureaucracies.” </w:t>
      </w:r>
      <w:r w:rsidRPr="001F7452">
        <w:rPr>
          <w:rFonts w:ascii="Trebuchet MS" w:eastAsia="Trebuchet MS" w:hAnsi="Trebuchet MS" w:cs="Trebuchet MS"/>
          <w:i/>
          <w:iCs/>
          <w:color w:val="000000"/>
          <w:lang w:val="en-ID"/>
        </w:rPr>
        <w:t>Journal of Public Administration Research and Theory</w:t>
      </w:r>
      <w:r w:rsidRPr="001F7452">
        <w:rPr>
          <w:rFonts w:ascii="Trebuchet MS" w:eastAsia="Trebuchet MS" w:hAnsi="Trebuchet MS" w:cs="Trebuchet MS"/>
          <w:color w:val="000000"/>
          <w:lang w:val="en-ID"/>
        </w:rPr>
        <w:t xml:space="preserve"> 31(3):542–560. </w:t>
      </w:r>
      <w:proofErr w:type="spellStart"/>
      <w:r w:rsidRPr="001F7452">
        <w:rPr>
          <w:rFonts w:ascii="Trebuchet MS" w:eastAsia="Trebuchet MS" w:hAnsi="Trebuchet MS" w:cs="Trebuchet MS"/>
          <w:color w:val="000000"/>
          <w:lang w:val="en-ID"/>
        </w:rPr>
        <w:t>doi</w:t>
      </w:r>
      <w:proofErr w:type="spellEnd"/>
      <w:r w:rsidRPr="001F7452">
        <w:rPr>
          <w:rFonts w:ascii="Trebuchet MS" w:eastAsia="Trebuchet MS" w:hAnsi="Trebuchet MS" w:cs="Trebuchet MS"/>
          <w:color w:val="000000"/>
          <w:lang w:val="en-ID"/>
        </w:rPr>
        <w:t>: https://doi.org/10.1093/jopart/muaa057.</w:t>
      </w:r>
    </w:p>
    <w:p w14:paraId="4D367A63"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proofErr w:type="spellStart"/>
      <w:r w:rsidRPr="001F7452">
        <w:rPr>
          <w:rFonts w:ascii="Trebuchet MS" w:eastAsia="Trebuchet MS" w:hAnsi="Trebuchet MS" w:cs="Trebuchet MS"/>
          <w:color w:val="000000"/>
          <w:lang w:val="en-ID"/>
        </w:rPr>
        <w:t>Wisanggeni</w:t>
      </w:r>
      <w:proofErr w:type="spellEnd"/>
      <w:r w:rsidRPr="001F7452">
        <w:rPr>
          <w:rFonts w:ascii="Trebuchet MS" w:eastAsia="Trebuchet MS" w:hAnsi="Trebuchet MS" w:cs="Trebuchet MS"/>
          <w:color w:val="000000"/>
          <w:lang w:val="en-ID"/>
        </w:rPr>
        <w:t xml:space="preserve">, Satrio </w:t>
      </w:r>
      <w:proofErr w:type="spellStart"/>
      <w:r w:rsidRPr="001F7452">
        <w:rPr>
          <w:rFonts w:ascii="Trebuchet MS" w:eastAsia="Trebuchet MS" w:hAnsi="Trebuchet MS" w:cs="Trebuchet MS"/>
          <w:color w:val="000000"/>
          <w:lang w:val="en-ID"/>
        </w:rPr>
        <w:t>Pangarso</w:t>
      </w:r>
      <w:proofErr w:type="spellEnd"/>
      <w:r w:rsidRPr="001F7452">
        <w:rPr>
          <w:rFonts w:ascii="Trebuchet MS" w:eastAsia="Trebuchet MS" w:hAnsi="Trebuchet MS" w:cs="Trebuchet MS"/>
          <w:color w:val="000000"/>
          <w:lang w:val="en-ID"/>
        </w:rPr>
        <w:t xml:space="preserve">, </w:t>
      </w:r>
      <w:proofErr w:type="spellStart"/>
      <w:r w:rsidRPr="001F7452">
        <w:rPr>
          <w:rFonts w:ascii="Trebuchet MS" w:eastAsia="Trebuchet MS" w:hAnsi="Trebuchet MS" w:cs="Trebuchet MS"/>
          <w:color w:val="000000"/>
          <w:lang w:val="en-ID"/>
        </w:rPr>
        <w:t>Rejeki</w:t>
      </w:r>
      <w:proofErr w:type="spellEnd"/>
      <w:r w:rsidRPr="001F7452">
        <w:rPr>
          <w:rFonts w:ascii="Trebuchet MS" w:eastAsia="Trebuchet MS" w:hAnsi="Trebuchet MS" w:cs="Trebuchet MS"/>
          <w:color w:val="000000"/>
          <w:lang w:val="en-ID"/>
        </w:rPr>
        <w:t xml:space="preserve"> Sri, and Ratna Sri Widyastuti. 2024. “</w:t>
      </w:r>
      <w:proofErr w:type="spellStart"/>
      <w:r w:rsidRPr="001F7452">
        <w:rPr>
          <w:rFonts w:ascii="Trebuchet MS" w:eastAsia="Trebuchet MS" w:hAnsi="Trebuchet MS" w:cs="Trebuchet MS"/>
          <w:color w:val="000000"/>
          <w:lang w:val="en-ID"/>
        </w:rPr>
        <w:t>Mengapa</w:t>
      </w:r>
      <w:proofErr w:type="spellEnd"/>
      <w:r w:rsidRPr="001F7452">
        <w:rPr>
          <w:rFonts w:ascii="Trebuchet MS" w:eastAsia="Trebuchet MS" w:hAnsi="Trebuchet MS" w:cs="Trebuchet MS"/>
          <w:color w:val="000000"/>
          <w:lang w:val="en-ID"/>
        </w:rPr>
        <w:t xml:space="preserve"> </w:t>
      </w:r>
      <w:proofErr w:type="spellStart"/>
      <w:r w:rsidRPr="001F7452">
        <w:rPr>
          <w:rFonts w:ascii="Trebuchet MS" w:eastAsia="Trebuchet MS" w:hAnsi="Trebuchet MS" w:cs="Trebuchet MS"/>
          <w:color w:val="000000"/>
          <w:lang w:val="en-ID"/>
        </w:rPr>
        <w:t>Generasi</w:t>
      </w:r>
      <w:proofErr w:type="spellEnd"/>
      <w:r w:rsidRPr="001F7452">
        <w:rPr>
          <w:rFonts w:ascii="Trebuchet MS" w:eastAsia="Trebuchet MS" w:hAnsi="Trebuchet MS" w:cs="Trebuchet MS"/>
          <w:color w:val="000000"/>
          <w:lang w:val="en-ID"/>
        </w:rPr>
        <w:t xml:space="preserve"> Z </w:t>
      </w:r>
      <w:proofErr w:type="spellStart"/>
      <w:r w:rsidRPr="001F7452">
        <w:rPr>
          <w:rFonts w:ascii="Trebuchet MS" w:eastAsia="Trebuchet MS" w:hAnsi="Trebuchet MS" w:cs="Trebuchet MS"/>
          <w:color w:val="000000"/>
          <w:lang w:val="en-ID"/>
        </w:rPr>
        <w:t>Lebih</w:t>
      </w:r>
      <w:proofErr w:type="spellEnd"/>
      <w:r w:rsidRPr="001F7452">
        <w:rPr>
          <w:rFonts w:ascii="Trebuchet MS" w:eastAsia="Trebuchet MS" w:hAnsi="Trebuchet MS" w:cs="Trebuchet MS"/>
          <w:color w:val="000000"/>
          <w:lang w:val="en-ID"/>
        </w:rPr>
        <w:t xml:space="preserve"> Susah Cari Kerja?” </w:t>
      </w:r>
      <w:r w:rsidRPr="001F7452">
        <w:rPr>
          <w:rFonts w:ascii="Trebuchet MS" w:eastAsia="Trebuchet MS" w:hAnsi="Trebuchet MS" w:cs="Trebuchet MS"/>
          <w:color w:val="000000"/>
          <w:lang w:val="sv-SE"/>
        </w:rPr>
        <w:t>Kompas. Id. https://www.kompas.id/artikel/mengapa-generasi-z-diperkirakan-akan-lebih-susah-cari-kerja</w:t>
      </w:r>
    </w:p>
    <w:p w14:paraId="3E01FDE8" w14:textId="77777777" w:rsidR="001F7452" w:rsidRPr="001F7452" w:rsidRDefault="001F7452" w:rsidP="001F7452">
      <w:pPr>
        <w:pBdr>
          <w:top w:val="nil"/>
          <w:left w:val="nil"/>
          <w:bottom w:val="nil"/>
          <w:right w:val="nil"/>
          <w:between w:val="nil"/>
        </w:pBdr>
        <w:spacing w:before="160"/>
        <w:ind w:left="720" w:hanging="720"/>
        <w:jc w:val="both"/>
        <w:rPr>
          <w:rFonts w:ascii="Trebuchet MS" w:eastAsia="Trebuchet MS" w:hAnsi="Trebuchet MS" w:cs="Trebuchet MS"/>
          <w:color w:val="000000"/>
          <w:lang w:val="sv-SE"/>
        </w:rPr>
      </w:pPr>
      <w:r w:rsidRPr="001F7452">
        <w:rPr>
          <w:rFonts w:ascii="Trebuchet MS" w:eastAsia="Trebuchet MS" w:hAnsi="Trebuchet MS" w:cs="Trebuchet MS"/>
          <w:color w:val="000000"/>
          <w:lang w:val="sv-SE"/>
        </w:rPr>
        <w:t xml:space="preserve">Wulandari, Sri, Dinie Anggraeni Dewi, and Yayang Furi Furnamasari. 2022. “Peran Pendidikan Kewarganegaraan Dalam Mengembangkan Rasa Toleransi Di Kalangan Siswa Sekolah Dasar.” </w:t>
      </w:r>
      <w:r w:rsidRPr="001F7452">
        <w:rPr>
          <w:rFonts w:ascii="Trebuchet MS" w:eastAsia="Trebuchet MS" w:hAnsi="Trebuchet MS" w:cs="Trebuchet MS"/>
          <w:i/>
          <w:iCs/>
          <w:color w:val="000000"/>
          <w:lang w:val="sv-SE"/>
        </w:rPr>
        <w:t>Edumaspul: Jurnal Pendidikan</w:t>
      </w:r>
      <w:r w:rsidRPr="001F7452">
        <w:rPr>
          <w:rFonts w:ascii="Trebuchet MS" w:eastAsia="Trebuchet MS" w:hAnsi="Trebuchet MS" w:cs="Trebuchet MS"/>
          <w:color w:val="000000"/>
          <w:lang w:val="sv-SE"/>
        </w:rPr>
        <w:t xml:space="preserve"> 6(1):981–87. doi: 10.33487/edumaspul.v6i1.2505.</w:t>
      </w:r>
    </w:p>
    <w:p w14:paraId="1C25B00E" w14:textId="77777777" w:rsidR="009F0C46" w:rsidRDefault="009F0C46" w:rsidP="001F7452">
      <w:pPr>
        <w:pBdr>
          <w:top w:val="nil"/>
          <w:left w:val="nil"/>
          <w:bottom w:val="nil"/>
          <w:right w:val="nil"/>
          <w:between w:val="nil"/>
        </w:pBdr>
        <w:spacing w:before="160"/>
        <w:ind w:left="720" w:hanging="720"/>
        <w:jc w:val="both"/>
        <w:rPr>
          <w:rFonts w:ascii="Trebuchet MS" w:eastAsia="Trebuchet MS" w:hAnsi="Trebuchet MS" w:cs="Trebuchet MS"/>
        </w:rPr>
      </w:pPr>
    </w:p>
    <w:sectPr w:rsidR="009F0C46">
      <w:headerReference w:type="even" r:id="rId14"/>
      <w:type w:val="continuous"/>
      <w:pgSz w:w="11907" w:h="16839"/>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184F1C" w14:textId="77777777" w:rsidR="00B3535C" w:rsidRDefault="00B3535C">
      <w:r>
        <w:separator/>
      </w:r>
    </w:p>
  </w:endnote>
  <w:endnote w:type="continuationSeparator" w:id="0">
    <w:p w14:paraId="4239E3C5" w14:textId="77777777" w:rsidR="00B3535C" w:rsidRDefault="00B35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embedBold r:id="rId1" w:fontKey="{7FB5C00B-D201-4BE2-9EA7-09B3E37FB6AB}"/>
  </w:font>
  <w:font w:name="Cambria">
    <w:panose1 w:val="02040503050406030204"/>
    <w:charset w:val="00"/>
    <w:family w:val="roman"/>
    <w:pitch w:val="variable"/>
    <w:sig w:usb0="E00006FF" w:usb1="420024FF" w:usb2="02000000" w:usb3="00000000" w:csb0="0000019F" w:csb1="00000000"/>
    <w:embedRegular r:id="rId2" w:fontKey="{5DF0ED31-0576-4832-BA61-75210432788C}"/>
    <w:embedBold r:id="rId3" w:fontKey="{ECA8F1CE-EC37-4AFB-8C35-ED2F2279308F}"/>
    <w:embedItalic r:id="rId4" w:fontKey="{BB914CCB-F8A1-4BBD-AB47-D4DF016A26AF}"/>
    <w:embedBoldItalic r:id="rId5" w:fontKey="{03D82068-683A-4070-A6B0-60E5536936A4}"/>
  </w:font>
  <w:font w:name="Calibri Light">
    <w:panose1 w:val="020F0302020204030204"/>
    <w:charset w:val="00"/>
    <w:family w:val="swiss"/>
    <w:pitch w:val="variable"/>
    <w:sig w:usb0="E4002EFF" w:usb1="C000247B" w:usb2="00000009" w:usb3="00000000" w:csb0="000001FF" w:csb1="00000000"/>
    <w:embedRegular r:id="rId6" w:fontKey="{5F563FE8-57A1-4D5E-BC5B-9514BBF980D3}"/>
    <w:embedBold r:id="rId7" w:fontKey="{10FBDB4D-77A1-4939-979E-4486F3E39364}"/>
    <w:embedItalic r:id="rId8" w:fontKey="{A5BBBE35-6927-42BC-ABCE-FA2B5AD30740}"/>
  </w:font>
  <w:font w:name="Tahoma">
    <w:panose1 w:val="020B0604030504040204"/>
    <w:charset w:val="00"/>
    <w:family w:val="swiss"/>
    <w:pitch w:val="variable"/>
    <w:sig w:usb0="E1002EFF" w:usb1="C000605B" w:usb2="00000029" w:usb3="00000000" w:csb0="000101FF" w:csb1="00000000"/>
    <w:embedRegular r:id="rId9" w:fontKey="{F378E195-61A2-4320-B999-79AA549842D3}"/>
  </w:font>
  <w:font w:name="Calibri">
    <w:panose1 w:val="020F0502020204030204"/>
    <w:charset w:val="00"/>
    <w:family w:val="swiss"/>
    <w:pitch w:val="variable"/>
    <w:sig w:usb0="E4002EFF" w:usb1="C000247B" w:usb2="00000009" w:usb3="00000000" w:csb0="000001FF" w:csb1="00000000"/>
    <w:embedRegular r:id="rId10" w:fontKey="{DC11915D-DE31-4842-997F-1730EBCE358E}"/>
    <w:embedBold r:id="rId11" w:fontKey="{B1A33D50-08CE-4650-B6AF-09AFAFFA76C8}"/>
    <w:embedItalic r:id="rId12" w:fontKey="{E3B94208-1621-4CE7-B31D-B744A7CC079F}"/>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Georgia">
    <w:panose1 w:val="02040502050405020303"/>
    <w:charset w:val="00"/>
    <w:family w:val="roman"/>
    <w:pitch w:val="variable"/>
    <w:sig w:usb0="00000287" w:usb1="00000000" w:usb2="00000000" w:usb3="00000000" w:csb0="0000009F" w:csb1="00000000"/>
    <w:embedRegular r:id="rId13" w:fontKey="{5DC39362-27D7-4ADB-B54A-D83E27B9836A}"/>
    <w:embedItalic r:id="rId14" w:fontKey="{83CA6128-4A2A-4068-B409-BEC9EE0F597F}"/>
  </w:font>
  <w:font w:name="Trebuchet MS">
    <w:panose1 w:val="020B0603020202020204"/>
    <w:charset w:val="00"/>
    <w:family w:val="swiss"/>
    <w:pitch w:val="variable"/>
    <w:sig w:usb0="00000687" w:usb1="00000000" w:usb2="00000000" w:usb3="00000000" w:csb0="0000009F" w:csb1="00000000"/>
    <w:embedRegular r:id="rId15" w:fontKey="{434B4F72-E4F9-420A-AF83-B91A248AEE91}"/>
    <w:embedBold r:id="rId16" w:fontKey="{5EDDB1F2-83A6-496E-AF43-0EE2BFF4782A}"/>
    <w:embedItalic r:id="rId17" w:fontKey="{F8CE6C8A-7CF6-4661-9F27-1FAF948D0C5F}"/>
    <w:embedBoldItalic r:id="rId18" w:fontKey="{C8F2A372-1BCF-4BBE-B5A5-0C810B36DD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0DE0B" w14:textId="77777777" w:rsidR="009F0C46" w:rsidRDefault="00000000">
    <w:pPr>
      <w:rPr>
        <w:rFonts w:ascii="Cambria" w:eastAsia="Cambria" w:hAnsi="Cambria" w:cs="Cambria"/>
        <w:sz w:val="14"/>
        <w:szCs w:val="14"/>
      </w:rPr>
    </w:pPr>
    <w:proofErr w:type="spellStart"/>
    <w:r>
      <w:rPr>
        <w:rFonts w:ascii="Cambria" w:eastAsia="Cambria" w:hAnsi="Cambria" w:cs="Cambria"/>
        <w:b/>
        <w:sz w:val="16"/>
        <w:szCs w:val="16"/>
      </w:rPr>
      <w:t>Triwikrama</w:t>
    </w:r>
    <w:proofErr w:type="spellEnd"/>
    <w:r>
      <w:rPr>
        <w:rFonts w:ascii="Cambria" w:eastAsia="Cambria" w:hAnsi="Cambria" w:cs="Cambria"/>
        <w:b/>
        <w:sz w:val="16"/>
        <w:szCs w:val="16"/>
      </w:rPr>
      <w:t xml:space="preserve">: Jurnal </w:t>
    </w:r>
    <w:proofErr w:type="spellStart"/>
    <w:r>
      <w:rPr>
        <w:rFonts w:ascii="Cambria" w:eastAsia="Cambria" w:hAnsi="Cambria" w:cs="Cambria"/>
        <w:b/>
        <w:sz w:val="16"/>
        <w:szCs w:val="16"/>
      </w:rPr>
      <w:t>Multidisiplin</w:t>
    </w:r>
    <w:proofErr w:type="spellEnd"/>
    <w:r>
      <w:rPr>
        <w:rFonts w:ascii="Cambria" w:eastAsia="Cambria" w:hAnsi="Cambria" w:cs="Cambria"/>
        <w:b/>
        <w:sz w:val="16"/>
        <w:szCs w:val="16"/>
      </w:rPr>
      <w:t xml:space="preserve"> </w:t>
    </w:r>
    <w:proofErr w:type="spellStart"/>
    <w:r>
      <w:rPr>
        <w:rFonts w:ascii="Cambria" w:eastAsia="Cambria" w:hAnsi="Cambria" w:cs="Cambria"/>
        <w:b/>
        <w:sz w:val="16"/>
        <w:szCs w:val="16"/>
      </w:rPr>
      <w:t>Ilmu</w:t>
    </w:r>
    <w:proofErr w:type="spellEnd"/>
    <w:r>
      <w:rPr>
        <w:rFonts w:ascii="Cambria" w:eastAsia="Cambria" w:hAnsi="Cambria" w:cs="Cambria"/>
        <w:b/>
        <w:sz w:val="16"/>
        <w:szCs w:val="16"/>
      </w:rPr>
      <w:t xml:space="preserve"> </w:t>
    </w:r>
    <w:proofErr w:type="spellStart"/>
    <w:proofErr w:type="gramStart"/>
    <w:r>
      <w:rPr>
        <w:rFonts w:ascii="Cambria" w:eastAsia="Cambria" w:hAnsi="Cambria" w:cs="Cambria"/>
        <w:b/>
        <w:sz w:val="16"/>
        <w:szCs w:val="16"/>
      </w:rPr>
      <w:t>Sosial</w:t>
    </w:r>
    <w:proofErr w:type="spellEnd"/>
    <w:r>
      <w:rPr>
        <w:rFonts w:ascii="Cambria" w:eastAsia="Cambria" w:hAnsi="Cambria" w:cs="Cambria"/>
        <w:b/>
        <w:sz w:val="16"/>
        <w:szCs w:val="16"/>
      </w:rPr>
      <w:t xml:space="preserve"> </w:t>
    </w:r>
    <w:r>
      <w:rPr>
        <w:rFonts w:ascii="Cambria" w:eastAsia="Cambria" w:hAnsi="Cambria" w:cs="Cambria"/>
        <w:sz w:val="16"/>
        <w:szCs w:val="16"/>
      </w:rPr>
      <w:t xml:space="preserve"> </w:t>
    </w:r>
    <w:r>
      <w:rPr>
        <w:rFonts w:ascii="Cambria" w:eastAsia="Cambria" w:hAnsi="Cambria" w:cs="Cambria"/>
        <w:sz w:val="14"/>
        <w:szCs w:val="14"/>
      </w:rPr>
      <w:t>P</w:t>
    </w:r>
    <w:proofErr w:type="gramEnd"/>
    <w:r>
      <w:rPr>
        <w:rFonts w:ascii="Cambria" w:eastAsia="Cambria" w:hAnsi="Cambria" w:cs="Cambria"/>
        <w:sz w:val="14"/>
        <w:szCs w:val="14"/>
      </w:rPr>
      <w:t xml:space="preserve">-ISSN: 2303-2898 | E-ISSN: 2549-6662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F78CB" w14:textId="77777777" w:rsidR="009F0C46" w:rsidRDefault="009F0C46">
    <w:pPr>
      <w:pBdr>
        <w:top w:val="nil"/>
        <w:left w:val="nil"/>
        <w:bottom w:val="nil"/>
        <w:right w:val="nil"/>
        <w:between w:val="nil"/>
      </w:pBdr>
      <w:tabs>
        <w:tab w:val="center" w:pos="4680"/>
        <w:tab w:val="right" w:pos="9360"/>
      </w:tabs>
      <w:rPr>
        <w:rFonts w:eastAsia="Times New Roman"/>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17946" w14:textId="77777777" w:rsidR="008E7429" w:rsidRDefault="008E74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6F70E5" w14:textId="77777777" w:rsidR="00B3535C" w:rsidRDefault="00B3535C">
      <w:r>
        <w:separator/>
      </w:r>
    </w:p>
  </w:footnote>
  <w:footnote w:type="continuationSeparator" w:id="0">
    <w:p w14:paraId="68045EA4" w14:textId="77777777" w:rsidR="00B3535C" w:rsidRDefault="00B353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0DBD4" w14:textId="7A7CE3B0" w:rsidR="009F0C46" w:rsidRDefault="00000000">
    <w:pPr>
      <w:pBdr>
        <w:top w:val="nil"/>
        <w:left w:val="nil"/>
        <w:bottom w:val="nil"/>
        <w:right w:val="nil"/>
        <w:between w:val="nil"/>
      </w:pBdr>
      <w:tabs>
        <w:tab w:val="center" w:pos="4680"/>
        <w:tab w:val="right" w:pos="9360"/>
        <w:tab w:val="center" w:pos="5103"/>
        <w:tab w:val="right" w:pos="9071"/>
      </w:tabs>
      <w:rPr>
        <w:rFonts w:eastAsia="Times New Roman"/>
        <w:color w:val="000000"/>
        <w:sz w:val="28"/>
        <w:szCs w:val="28"/>
      </w:rPr>
    </w:pPr>
    <w:r>
      <w:rPr>
        <w:rFonts w:eastAsia="Times New Roman"/>
        <w:color w:val="000000"/>
      </w:rPr>
      <w:tab/>
    </w:r>
    <w:r>
      <w:rPr>
        <w:rFonts w:eastAsia="Times New Roman"/>
        <w:color w:val="000000"/>
      </w:rPr>
      <w:tab/>
    </w:r>
    <w:r>
      <w:rPr>
        <w:rFonts w:ascii="Cambria" w:eastAsia="Cambria" w:hAnsi="Cambria" w:cs="Cambria"/>
        <w:color w:val="000000"/>
        <w:sz w:val="18"/>
        <w:szCs w:val="18"/>
      </w:rPr>
      <w:fldChar w:fldCharType="begin"/>
    </w:r>
    <w:r>
      <w:rPr>
        <w:rFonts w:ascii="Cambria" w:eastAsia="Cambria" w:hAnsi="Cambria" w:cs="Cambria"/>
        <w:color w:val="000000"/>
        <w:sz w:val="18"/>
        <w:szCs w:val="18"/>
      </w:rPr>
      <w:instrText>PAGE</w:instrText>
    </w:r>
    <w:r>
      <w:rPr>
        <w:rFonts w:ascii="Cambria" w:eastAsia="Cambria" w:hAnsi="Cambria" w:cs="Cambria"/>
        <w:color w:val="000000"/>
        <w:sz w:val="18"/>
        <w:szCs w:val="18"/>
      </w:rPr>
      <w:fldChar w:fldCharType="separate"/>
    </w:r>
    <w:r w:rsidR="00B8059D">
      <w:rPr>
        <w:rFonts w:ascii="Cambria" w:eastAsia="Cambria" w:hAnsi="Cambria" w:cs="Cambria"/>
        <w:noProof/>
        <w:color w:val="000000"/>
        <w:sz w:val="18"/>
        <w:szCs w:val="18"/>
      </w:rPr>
      <w:t>2</w:t>
    </w:r>
    <w:r>
      <w:rPr>
        <w:rFonts w:ascii="Cambria" w:eastAsia="Cambria" w:hAnsi="Cambria" w:cs="Cambria"/>
        <w:color w:val="000000"/>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97353" w14:textId="77777777" w:rsidR="009F0C46" w:rsidRDefault="00000000">
    <w:pPr>
      <w:pBdr>
        <w:top w:val="single" w:sz="4" w:space="1" w:color="000000"/>
      </w:pBdr>
      <w:rPr>
        <w:rFonts w:ascii="Cambria" w:eastAsia="Cambria" w:hAnsi="Cambria" w:cs="Cambria"/>
        <w:b/>
        <w:sz w:val="20"/>
        <w:szCs w:val="20"/>
      </w:rPr>
    </w:pPr>
    <w:r>
      <w:rPr>
        <w:noProof/>
      </w:rPr>
      <w:drawing>
        <wp:anchor distT="0" distB="0" distL="0" distR="0" simplePos="0" relativeHeight="251658240" behindDoc="0" locked="0" layoutInCell="1" hidden="0" allowOverlap="1" wp14:anchorId="0208817D" wp14:editId="7FB2741E">
          <wp:simplePos x="0" y="0"/>
          <wp:positionH relativeFrom="column">
            <wp:posOffset>5930392</wp:posOffset>
          </wp:positionH>
          <wp:positionV relativeFrom="paragraph">
            <wp:posOffset>31115</wp:posOffset>
          </wp:positionV>
          <wp:extent cx="542925" cy="866370"/>
          <wp:effectExtent l="9525" t="9525" r="9525" b="9525"/>
          <wp:wrapNone/>
          <wp:docPr id="1949760649" name="image1.png" descr="A cover of a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cover of a book&#10;&#10;Description automatically generated"/>
                  <pic:cNvPicPr preferRelativeResize="0"/>
                </pic:nvPicPr>
                <pic:blipFill>
                  <a:blip r:embed="rId1"/>
                  <a:srcRect/>
                  <a:stretch>
                    <a:fillRect/>
                  </a:stretch>
                </pic:blipFill>
                <pic:spPr>
                  <a:xfrm>
                    <a:off x="0" y="0"/>
                    <a:ext cx="542925" cy="866370"/>
                  </a:xfrm>
                  <a:prstGeom prst="rect">
                    <a:avLst/>
                  </a:prstGeom>
                  <a:ln w="9525">
                    <a:solidFill>
                      <a:srgbClr val="000000"/>
                    </a:solidFill>
                    <a:prstDash val="solid"/>
                  </a:ln>
                </pic:spPr>
              </pic:pic>
            </a:graphicData>
          </a:graphic>
        </wp:anchor>
      </w:drawing>
    </w:r>
  </w:p>
  <w:p w14:paraId="2A2A0767" w14:textId="77777777" w:rsidR="009F0C46" w:rsidRDefault="009F0C46">
    <w:pPr>
      <w:pBdr>
        <w:top w:val="single" w:sz="4" w:space="1" w:color="000000"/>
      </w:pBdr>
      <w:rPr>
        <w:rFonts w:ascii="Cambria" w:eastAsia="Cambria" w:hAnsi="Cambria" w:cs="Cambria"/>
        <w:b/>
        <w:sz w:val="20"/>
        <w:szCs w:val="20"/>
      </w:rPr>
    </w:pPr>
  </w:p>
  <w:p w14:paraId="296AC280" w14:textId="77777777" w:rsidR="009F0C46" w:rsidRPr="00B8059D" w:rsidRDefault="00000000">
    <w:pPr>
      <w:pBdr>
        <w:top w:val="single" w:sz="4" w:space="1" w:color="000000"/>
      </w:pBdr>
      <w:rPr>
        <w:rFonts w:ascii="Cambria" w:eastAsia="Cambria" w:hAnsi="Cambria" w:cs="Cambria"/>
        <w:sz w:val="14"/>
        <w:szCs w:val="14"/>
        <w:lang w:val="sv-SE"/>
      </w:rPr>
    </w:pPr>
    <w:r w:rsidRPr="00B8059D">
      <w:rPr>
        <w:rFonts w:ascii="Cambria" w:eastAsia="Cambria" w:hAnsi="Cambria" w:cs="Cambria"/>
        <w:b/>
        <w:sz w:val="20"/>
        <w:szCs w:val="20"/>
        <w:lang w:val="sv-SE"/>
      </w:rPr>
      <w:t>Triwikrama: Jurnal Multidisiplin Ilmu Sosial</w:t>
    </w:r>
    <w:r w:rsidRPr="00B8059D">
      <w:rPr>
        <w:rFonts w:ascii="Cambria" w:eastAsia="Cambria" w:hAnsi="Cambria" w:cs="Cambria"/>
        <w:b/>
        <w:sz w:val="20"/>
        <w:szCs w:val="20"/>
        <w:lang w:val="sv-SE"/>
      </w:rPr>
      <w:tab/>
    </w:r>
  </w:p>
  <w:p w14:paraId="7FB4784C" w14:textId="77777777" w:rsidR="009F0C46" w:rsidRDefault="00000000">
    <w:pPr>
      <w:tabs>
        <w:tab w:val="right" w:pos="9071"/>
      </w:tabs>
      <w:rPr>
        <w:rFonts w:ascii="Cambria" w:eastAsia="Cambria" w:hAnsi="Cambria" w:cs="Cambria"/>
        <w:sz w:val="14"/>
        <w:szCs w:val="14"/>
      </w:rPr>
    </w:pPr>
    <w:r>
      <w:rPr>
        <w:rFonts w:ascii="Cambria" w:eastAsia="Cambria" w:hAnsi="Cambria" w:cs="Cambria"/>
        <w:sz w:val="14"/>
        <w:szCs w:val="14"/>
      </w:rPr>
      <w:t xml:space="preserve">Volume 10, Number </w:t>
    </w:r>
    <w:r>
      <w:rPr>
        <w:sz w:val="14"/>
        <w:szCs w:val="14"/>
      </w:rPr>
      <w:t>11</w:t>
    </w:r>
    <w:r>
      <w:rPr>
        <w:rFonts w:ascii="Cambria" w:eastAsia="Cambria" w:hAnsi="Cambria" w:cs="Cambria"/>
        <w:sz w:val="14"/>
        <w:szCs w:val="14"/>
      </w:rPr>
      <w:t xml:space="preserve"> 202</w:t>
    </w:r>
    <w:r>
      <w:rPr>
        <w:sz w:val="14"/>
        <w:szCs w:val="14"/>
      </w:rPr>
      <w:t>5</w:t>
    </w:r>
    <w:r>
      <w:rPr>
        <w:rFonts w:ascii="Cambria" w:eastAsia="Cambria" w:hAnsi="Cambria" w:cs="Cambria"/>
        <w:sz w:val="14"/>
        <w:szCs w:val="14"/>
      </w:rPr>
      <w:tab/>
    </w:r>
  </w:p>
  <w:p w14:paraId="4977E69B" w14:textId="77777777" w:rsidR="009F0C46"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E-ISSN: </w:t>
    </w:r>
    <w:r>
      <w:rPr>
        <w:sz w:val="14"/>
        <w:szCs w:val="14"/>
      </w:rPr>
      <w:t>2988</w:t>
    </w:r>
    <w:r>
      <w:rPr>
        <w:rFonts w:ascii="Cambria" w:eastAsia="Cambria" w:hAnsi="Cambria" w:cs="Cambria"/>
        <w:sz w:val="14"/>
        <w:szCs w:val="14"/>
      </w:rPr>
      <w:t>-1</w:t>
    </w:r>
    <w:r>
      <w:rPr>
        <w:sz w:val="14"/>
        <w:szCs w:val="14"/>
      </w:rPr>
      <w:t>986</w:t>
    </w:r>
  </w:p>
  <w:p w14:paraId="17D6B0D6" w14:textId="77777777" w:rsidR="009F0C46"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Open Access: </w:t>
    </w:r>
  </w:p>
  <w:p w14:paraId="224AC421" w14:textId="77777777" w:rsidR="009F0C46" w:rsidRDefault="009F0C46">
    <w:pPr>
      <w:pBdr>
        <w:bottom w:val="single" w:sz="12" w:space="1" w:color="000000"/>
      </w:pBdr>
      <w:rPr>
        <w:rFonts w:ascii="Cambria" w:eastAsia="Cambria" w:hAnsi="Cambria" w:cs="Cambria"/>
        <w:sz w:val="14"/>
        <w:szCs w:val="14"/>
      </w:rPr>
    </w:pPr>
  </w:p>
  <w:p w14:paraId="2952FD48" w14:textId="77777777" w:rsidR="009F0C46" w:rsidRDefault="009F0C46">
    <w:pPr>
      <w:pBdr>
        <w:top w:val="nil"/>
        <w:left w:val="nil"/>
        <w:bottom w:val="nil"/>
        <w:right w:val="nil"/>
        <w:between w:val="nil"/>
      </w:pBdr>
      <w:tabs>
        <w:tab w:val="center" w:pos="4680"/>
        <w:tab w:val="right" w:pos="9360"/>
      </w:tabs>
      <w:rPr>
        <w:rFonts w:eastAsia="Times New Roman"/>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D1DE7" w14:textId="77777777" w:rsidR="009F0C46" w:rsidRDefault="00000000">
    <w:pPr>
      <w:pBdr>
        <w:top w:val="single" w:sz="4" w:space="1" w:color="000000"/>
      </w:pBdr>
      <w:rPr>
        <w:rFonts w:ascii="Cambria" w:eastAsia="Cambria" w:hAnsi="Cambria" w:cs="Cambria"/>
        <w:b/>
        <w:sz w:val="20"/>
        <w:szCs w:val="20"/>
      </w:rPr>
    </w:pPr>
    <w:r>
      <w:rPr>
        <w:noProof/>
      </w:rPr>
      <w:drawing>
        <wp:anchor distT="0" distB="0" distL="114300" distR="114300" simplePos="0" relativeHeight="251659264" behindDoc="0" locked="0" layoutInCell="1" hidden="0" allowOverlap="1" wp14:anchorId="3D45A73F" wp14:editId="342DE76A">
          <wp:simplePos x="0" y="0"/>
          <wp:positionH relativeFrom="column">
            <wp:posOffset>6102675</wp:posOffset>
          </wp:positionH>
          <wp:positionV relativeFrom="paragraph">
            <wp:posOffset>-19049</wp:posOffset>
          </wp:positionV>
          <wp:extent cx="542925" cy="866371"/>
          <wp:effectExtent l="0" t="0" r="0" b="0"/>
          <wp:wrapNone/>
          <wp:docPr id="1949760650" name="image3.jpg" descr="C:\Users\lenovo\Downloads\cover_issue_2_en_US.jpg"/>
          <wp:cNvGraphicFramePr/>
          <a:graphic xmlns:a="http://schemas.openxmlformats.org/drawingml/2006/main">
            <a:graphicData uri="http://schemas.openxmlformats.org/drawingml/2006/picture">
              <pic:pic xmlns:pic="http://schemas.openxmlformats.org/drawingml/2006/picture">
                <pic:nvPicPr>
                  <pic:cNvPr id="0" name="image3.jpg" descr="C:\Users\lenovo\Downloads\cover_issue_2_en_US.jpg"/>
                  <pic:cNvPicPr preferRelativeResize="0"/>
                </pic:nvPicPr>
                <pic:blipFill>
                  <a:blip r:embed="rId1"/>
                  <a:srcRect/>
                  <a:stretch>
                    <a:fillRect/>
                  </a:stretch>
                </pic:blipFill>
                <pic:spPr>
                  <a:xfrm>
                    <a:off x="0" y="0"/>
                    <a:ext cx="542925" cy="866371"/>
                  </a:xfrm>
                  <a:prstGeom prst="rect">
                    <a:avLst/>
                  </a:prstGeom>
                  <a:ln/>
                </pic:spPr>
              </pic:pic>
            </a:graphicData>
          </a:graphic>
        </wp:anchor>
      </w:drawing>
    </w:r>
  </w:p>
  <w:p w14:paraId="34F0FA17" w14:textId="77777777" w:rsidR="009F0C46" w:rsidRDefault="009F0C46">
    <w:pPr>
      <w:pBdr>
        <w:top w:val="single" w:sz="4" w:space="1" w:color="000000"/>
      </w:pBdr>
      <w:rPr>
        <w:rFonts w:ascii="Cambria" w:eastAsia="Cambria" w:hAnsi="Cambria" w:cs="Cambria"/>
        <w:b/>
        <w:sz w:val="20"/>
        <w:szCs w:val="20"/>
      </w:rPr>
    </w:pPr>
  </w:p>
  <w:p w14:paraId="1BB70FA9" w14:textId="77777777" w:rsidR="009F0C46" w:rsidRPr="00B8059D" w:rsidRDefault="00000000">
    <w:pPr>
      <w:pBdr>
        <w:top w:val="single" w:sz="4" w:space="1" w:color="000000"/>
      </w:pBdr>
      <w:rPr>
        <w:rFonts w:ascii="Cambria" w:eastAsia="Cambria" w:hAnsi="Cambria" w:cs="Cambria"/>
        <w:sz w:val="14"/>
        <w:szCs w:val="14"/>
        <w:lang w:val="sv-SE"/>
      </w:rPr>
    </w:pPr>
    <w:r w:rsidRPr="00B8059D">
      <w:rPr>
        <w:rFonts w:ascii="Cambria" w:eastAsia="Cambria" w:hAnsi="Cambria" w:cs="Cambria"/>
        <w:b/>
        <w:sz w:val="20"/>
        <w:szCs w:val="20"/>
        <w:lang w:val="sv-SE"/>
      </w:rPr>
      <w:t>Triwikrama: Jurnal Multidisiplin Ilmu Sosial</w:t>
    </w:r>
    <w:r w:rsidRPr="00B8059D">
      <w:rPr>
        <w:rFonts w:ascii="Cambria" w:eastAsia="Cambria" w:hAnsi="Cambria" w:cs="Cambria"/>
        <w:b/>
        <w:sz w:val="20"/>
        <w:szCs w:val="20"/>
        <w:lang w:val="sv-SE"/>
      </w:rPr>
      <w:tab/>
    </w:r>
  </w:p>
  <w:p w14:paraId="58E08EED" w14:textId="77777777" w:rsidR="009F0C46" w:rsidRDefault="00000000">
    <w:pPr>
      <w:tabs>
        <w:tab w:val="right" w:pos="9071"/>
      </w:tabs>
      <w:rPr>
        <w:rFonts w:ascii="Cambria" w:eastAsia="Cambria" w:hAnsi="Cambria" w:cs="Cambria"/>
        <w:sz w:val="14"/>
        <w:szCs w:val="14"/>
      </w:rPr>
    </w:pPr>
    <w:r>
      <w:rPr>
        <w:rFonts w:ascii="Cambria" w:eastAsia="Cambria" w:hAnsi="Cambria" w:cs="Cambria"/>
        <w:sz w:val="14"/>
        <w:szCs w:val="14"/>
      </w:rPr>
      <w:t>Volume 11, Number 8, 2025</w:t>
    </w:r>
    <w:r>
      <w:rPr>
        <w:rFonts w:ascii="Cambria" w:eastAsia="Cambria" w:hAnsi="Cambria" w:cs="Cambria"/>
        <w:sz w:val="14"/>
        <w:szCs w:val="14"/>
      </w:rPr>
      <w:tab/>
    </w:r>
  </w:p>
  <w:p w14:paraId="39D7ED58" w14:textId="77777777" w:rsidR="009F0C46"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E-ISSN: 2988-1986</w:t>
    </w:r>
  </w:p>
  <w:p w14:paraId="2BB91B3E" w14:textId="77777777" w:rsidR="009F0C46"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Open Access: </w:t>
    </w:r>
  </w:p>
  <w:p w14:paraId="7756DDEE" w14:textId="77777777" w:rsidR="009F0C46" w:rsidRDefault="009F0C46">
    <w:pPr>
      <w:pBdr>
        <w:bottom w:val="single" w:sz="12" w:space="1" w:color="000000"/>
      </w:pBdr>
      <w:rPr>
        <w:rFonts w:ascii="Cambria" w:eastAsia="Cambria" w:hAnsi="Cambria" w:cs="Cambria"/>
        <w:sz w:val="14"/>
        <w:szCs w:val="1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08E9A" w14:textId="77777777" w:rsidR="009F0C46" w:rsidRDefault="00000000">
    <w:pPr>
      <w:pBdr>
        <w:top w:val="single" w:sz="4" w:space="1" w:color="000000"/>
      </w:pBdr>
      <w:rPr>
        <w:rFonts w:ascii="Cambria" w:eastAsia="Cambria" w:hAnsi="Cambria" w:cs="Cambria"/>
        <w:b/>
        <w:sz w:val="20"/>
        <w:szCs w:val="20"/>
      </w:rPr>
    </w:pPr>
    <w:r>
      <w:rPr>
        <w:noProof/>
      </w:rPr>
      <w:drawing>
        <wp:anchor distT="0" distB="0" distL="0" distR="0" simplePos="0" relativeHeight="251660288" behindDoc="0" locked="0" layoutInCell="1" hidden="0" allowOverlap="1" wp14:anchorId="6013AAF1" wp14:editId="6D91CCCB">
          <wp:simplePos x="0" y="0"/>
          <wp:positionH relativeFrom="column">
            <wp:posOffset>5930392</wp:posOffset>
          </wp:positionH>
          <wp:positionV relativeFrom="paragraph">
            <wp:posOffset>31115</wp:posOffset>
          </wp:positionV>
          <wp:extent cx="542925" cy="866370"/>
          <wp:effectExtent l="9525" t="9525" r="9525" b="9525"/>
          <wp:wrapNone/>
          <wp:docPr id="1699524539" name="image1.png" descr="A cover of a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cover of a book&#10;&#10;Description automatically generated"/>
                  <pic:cNvPicPr preferRelativeResize="0"/>
                </pic:nvPicPr>
                <pic:blipFill>
                  <a:blip r:embed="rId1"/>
                  <a:srcRect/>
                  <a:stretch>
                    <a:fillRect/>
                  </a:stretch>
                </pic:blipFill>
                <pic:spPr>
                  <a:xfrm>
                    <a:off x="0" y="0"/>
                    <a:ext cx="542925" cy="866370"/>
                  </a:xfrm>
                  <a:prstGeom prst="rect">
                    <a:avLst/>
                  </a:prstGeom>
                  <a:ln w="9525">
                    <a:solidFill>
                      <a:srgbClr val="000000"/>
                    </a:solidFill>
                    <a:prstDash val="solid"/>
                  </a:ln>
                </pic:spPr>
              </pic:pic>
            </a:graphicData>
          </a:graphic>
        </wp:anchor>
      </w:drawing>
    </w:r>
  </w:p>
  <w:p w14:paraId="5FBB8415" w14:textId="77777777" w:rsidR="009F0C46" w:rsidRDefault="009F0C46">
    <w:pPr>
      <w:pBdr>
        <w:top w:val="single" w:sz="4" w:space="1" w:color="000000"/>
      </w:pBdr>
      <w:rPr>
        <w:rFonts w:ascii="Cambria" w:eastAsia="Cambria" w:hAnsi="Cambria" w:cs="Cambria"/>
        <w:b/>
        <w:sz w:val="20"/>
        <w:szCs w:val="20"/>
      </w:rPr>
    </w:pPr>
  </w:p>
  <w:p w14:paraId="37C7072D" w14:textId="77777777" w:rsidR="009F0C46" w:rsidRPr="00B8059D" w:rsidRDefault="00000000">
    <w:pPr>
      <w:pBdr>
        <w:top w:val="single" w:sz="4" w:space="1" w:color="000000"/>
      </w:pBdr>
      <w:rPr>
        <w:rFonts w:ascii="Cambria" w:eastAsia="Cambria" w:hAnsi="Cambria" w:cs="Cambria"/>
        <w:sz w:val="14"/>
        <w:szCs w:val="14"/>
        <w:lang w:val="sv-SE"/>
      </w:rPr>
    </w:pPr>
    <w:r w:rsidRPr="00B8059D">
      <w:rPr>
        <w:rFonts w:ascii="Cambria" w:eastAsia="Cambria" w:hAnsi="Cambria" w:cs="Cambria"/>
        <w:b/>
        <w:sz w:val="20"/>
        <w:szCs w:val="20"/>
        <w:lang w:val="sv-SE"/>
      </w:rPr>
      <w:t>Triwikrama: Jurnal Multidisiplin Ilmu Sosial</w:t>
    </w:r>
    <w:r w:rsidRPr="00B8059D">
      <w:rPr>
        <w:rFonts w:ascii="Cambria" w:eastAsia="Cambria" w:hAnsi="Cambria" w:cs="Cambria"/>
        <w:b/>
        <w:sz w:val="20"/>
        <w:szCs w:val="20"/>
        <w:lang w:val="sv-SE"/>
      </w:rPr>
      <w:tab/>
    </w:r>
  </w:p>
  <w:p w14:paraId="696B1240" w14:textId="77777777" w:rsidR="009F0C46" w:rsidRDefault="00000000">
    <w:pPr>
      <w:tabs>
        <w:tab w:val="right" w:pos="9071"/>
      </w:tabs>
      <w:rPr>
        <w:rFonts w:ascii="Cambria" w:eastAsia="Cambria" w:hAnsi="Cambria" w:cs="Cambria"/>
        <w:sz w:val="14"/>
        <w:szCs w:val="14"/>
      </w:rPr>
    </w:pPr>
    <w:r>
      <w:rPr>
        <w:rFonts w:ascii="Cambria" w:eastAsia="Cambria" w:hAnsi="Cambria" w:cs="Cambria"/>
        <w:sz w:val="14"/>
        <w:szCs w:val="14"/>
      </w:rPr>
      <w:t>Volume 10 No 11, 202</w:t>
    </w:r>
    <w:r>
      <w:rPr>
        <w:sz w:val="14"/>
        <w:szCs w:val="14"/>
      </w:rPr>
      <w:t>5</w:t>
    </w:r>
    <w:r>
      <w:rPr>
        <w:rFonts w:ascii="Cambria" w:eastAsia="Cambria" w:hAnsi="Cambria" w:cs="Cambria"/>
        <w:sz w:val="14"/>
        <w:szCs w:val="14"/>
      </w:rPr>
      <w:tab/>
    </w:r>
  </w:p>
  <w:p w14:paraId="4BA81756" w14:textId="77777777" w:rsidR="009F0C46"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E-ISSN: </w:t>
    </w:r>
    <w:r>
      <w:rPr>
        <w:sz w:val="14"/>
        <w:szCs w:val="14"/>
      </w:rPr>
      <w:t>2988</w:t>
    </w:r>
    <w:r>
      <w:rPr>
        <w:rFonts w:ascii="Cambria" w:eastAsia="Cambria" w:hAnsi="Cambria" w:cs="Cambria"/>
        <w:sz w:val="14"/>
        <w:szCs w:val="14"/>
      </w:rPr>
      <w:t>-1</w:t>
    </w:r>
    <w:r>
      <w:rPr>
        <w:sz w:val="14"/>
        <w:szCs w:val="14"/>
      </w:rPr>
      <w:t>986</w:t>
    </w:r>
  </w:p>
  <w:p w14:paraId="0A942246" w14:textId="77777777" w:rsidR="009F0C46" w:rsidRDefault="00000000">
    <w:pPr>
      <w:pBdr>
        <w:bottom w:val="single" w:sz="12" w:space="1" w:color="000000"/>
      </w:pBdr>
      <w:rPr>
        <w:rFonts w:ascii="Cambria" w:eastAsia="Cambria" w:hAnsi="Cambria" w:cs="Cambria"/>
        <w:sz w:val="14"/>
        <w:szCs w:val="14"/>
      </w:rPr>
    </w:pPr>
    <w:r>
      <w:rPr>
        <w:rFonts w:ascii="Cambria" w:eastAsia="Cambria" w:hAnsi="Cambria" w:cs="Cambria"/>
        <w:sz w:val="14"/>
        <w:szCs w:val="14"/>
      </w:rPr>
      <w:t xml:space="preserve">Open Access: </w:t>
    </w:r>
  </w:p>
  <w:p w14:paraId="6FF39DB6" w14:textId="77777777" w:rsidR="009F0C46" w:rsidRDefault="009F0C46">
    <w:pPr>
      <w:pBdr>
        <w:bottom w:val="single" w:sz="12" w:space="1" w:color="000000"/>
      </w:pBdr>
      <w:rPr>
        <w:rFonts w:ascii="Cambria" w:eastAsia="Cambria" w:hAnsi="Cambria" w:cs="Cambria"/>
        <w:sz w:val="14"/>
        <w:szCs w:val="14"/>
      </w:rPr>
    </w:pPr>
  </w:p>
  <w:p w14:paraId="6FF6377D" w14:textId="77777777" w:rsidR="009F0C46" w:rsidRDefault="009F0C46">
    <w:pPr>
      <w:pBdr>
        <w:top w:val="nil"/>
        <w:left w:val="nil"/>
        <w:bottom w:val="nil"/>
        <w:right w:val="nil"/>
        <w:between w:val="nil"/>
      </w:pBdr>
      <w:tabs>
        <w:tab w:val="center" w:pos="4680"/>
        <w:tab w:val="right" w:pos="9360"/>
      </w:tabs>
      <w:rPr>
        <w:rFonts w:eastAsia="Times New Roman"/>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6C335E"/>
    <w:multiLevelType w:val="hybridMultilevel"/>
    <w:tmpl w:val="B47C8A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231F2553"/>
    <w:multiLevelType w:val="multilevel"/>
    <w:tmpl w:val="563A7B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5AA4B84"/>
    <w:multiLevelType w:val="multilevel"/>
    <w:tmpl w:val="A2F04FC0"/>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5C8F33ED"/>
    <w:multiLevelType w:val="multilevel"/>
    <w:tmpl w:val="6BCAA4F6"/>
    <w:lvl w:ilvl="0">
      <w:start w:val="1"/>
      <w:numFmt w:val="decimal"/>
      <w:pStyle w:val="bab"/>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44264177">
    <w:abstractNumId w:val="2"/>
  </w:num>
  <w:num w:numId="2" w16cid:durableId="1064720639">
    <w:abstractNumId w:val="3"/>
  </w:num>
  <w:num w:numId="3" w16cid:durableId="46729000">
    <w:abstractNumId w:val="1"/>
  </w:num>
  <w:num w:numId="4" w16cid:durableId="13948876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0C46"/>
    <w:rsid w:val="000E2395"/>
    <w:rsid w:val="00176678"/>
    <w:rsid w:val="001F7452"/>
    <w:rsid w:val="003A3FF6"/>
    <w:rsid w:val="00625A90"/>
    <w:rsid w:val="008E7429"/>
    <w:rsid w:val="0092791A"/>
    <w:rsid w:val="009F0C46"/>
    <w:rsid w:val="00A206FF"/>
    <w:rsid w:val="00AA66E8"/>
    <w:rsid w:val="00B3535C"/>
    <w:rsid w:val="00B8059D"/>
    <w:rsid w:val="00F4463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47A3B3"/>
  <w15:docId w15:val="{96ED1170-B000-40C8-9F79-85E66E68E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777"/>
    <w:rPr>
      <w:rFonts w:eastAsia="MS Mincho"/>
    </w:rPr>
  </w:style>
  <w:style w:type="paragraph" w:styleId="Heading1">
    <w:name w:val="heading 1"/>
    <w:basedOn w:val="Normal"/>
    <w:next w:val="Normal"/>
    <w:link w:val="Heading1Char"/>
    <w:uiPriority w:val="9"/>
    <w:qFormat/>
    <w:rsid w:val="00541C12"/>
    <w:pPr>
      <w:keepNext/>
      <w:keepLines/>
      <w:spacing w:line="360" w:lineRule="auto"/>
      <w:jc w:val="both"/>
      <w:outlineLvl w:val="0"/>
    </w:pPr>
    <w:rPr>
      <w:rFonts w:ascii="Century Gothic" w:eastAsia="Times New Roman" w:hAnsi="Century Gothic"/>
      <w:b/>
      <w:color w:val="000000"/>
      <w:sz w:val="20"/>
      <w:szCs w:val="32"/>
      <w:lang w:val="id-ID" w:eastAsia="x-none"/>
    </w:rPr>
  </w:style>
  <w:style w:type="paragraph" w:styleId="Heading2">
    <w:name w:val="heading 2"/>
    <w:basedOn w:val="Normal"/>
    <w:next w:val="Normal"/>
    <w:link w:val="Heading2Char"/>
    <w:uiPriority w:val="9"/>
    <w:semiHidden/>
    <w:unhideWhenUsed/>
    <w:qFormat/>
    <w:rsid w:val="00C05AC0"/>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semiHidden/>
    <w:unhideWhenUsed/>
    <w:qFormat/>
    <w:rsid w:val="007A5C2E"/>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sid w:val="00C80ED1"/>
    <w:pPr>
      <w:spacing w:after="200" w:line="360" w:lineRule="auto"/>
      <w:contextualSpacing/>
      <w:jc w:val="both"/>
    </w:pPr>
    <w:rPr>
      <w:rFonts w:ascii="Century Gothic" w:eastAsia="Times New Roman" w:hAnsi="Century Gothic"/>
      <w:b/>
      <w:spacing w:val="-10"/>
      <w:kern w:val="28"/>
      <w:sz w:val="34"/>
      <w:szCs w:val="56"/>
      <w:lang w:val="id-ID" w:eastAsia="x-none"/>
    </w:rPr>
  </w:style>
  <w:style w:type="character" w:styleId="Hyperlink">
    <w:name w:val="Hyperlink"/>
    <w:qFormat/>
    <w:rsid w:val="008F5777"/>
    <w:rPr>
      <w:color w:val="0000FF"/>
      <w:u w:val="single"/>
    </w:rPr>
  </w:style>
  <w:style w:type="paragraph" w:styleId="BodyTextIndent3">
    <w:name w:val="Body Text Indent 3"/>
    <w:basedOn w:val="Normal"/>
    <w:link w:val="BodyTextIndent3Char"/>
    <w:rsid w:val="000C5365"/>
    <w:pPr>
      <w:ind w:firstLine="360"/>
      <w:jc w:val="both"/>
    </w:pPr>
    <w:rPr>
      <w:lang w:val="x-none" w:eastAsia="x-none"/>
    </w:rPr>
  </w:style>
  <w:style w:type="character" w:styleId="FollowedHyperlink">
    <w:name w:val="FollowedHyperlink"/>
    <w:rsid w:val="00652DCA"/>
    <w:rPr>
      <w:color w:val="800080"/>
      <w:u w:val="single"/>
    </w:rPr>
  </w:style>
  <w:style w:type="paragraph" w:styleId="BalloonText">
    <w:name w:val="Balloon Text"/>
    <w:basedOn w:val="Normal"/>
    <w:link w:val="BalloonTextChar"/>
    <w:rsid w:val="000644D4"/>
    <w:rPr>
      <w:rFonts w:ascii="Tahoma" w:hAnsi="Tahoma"/>
      <w:sz w:val="16"/>
      <w:szCs w:val="16"/>
      <w:lang w:val="x-none" w:eastAsia="x-none"/>
    </w:rPr>
  </w:style>
  <w:style w:type="character" w:customStyle="1" w:styleId="BalloonTextChar">
    <w:name w:val="Balloon Text Char"/>
    <w:link w:val="BalloonText"/>
    <w:rsid w:val="000644D4"/>
    <w:rPr>
      <w:rFonts w:ascii="Tahoma" w:eastAsia="MS Mincho" w:hAnsi="Tahoma" w:cs="Tahoma"/>
      <w:sz w:val="16"/>
      <w:szCs w:val="16"/>
    </w:rPr>
  </w:style>
  <w:style w:type="paragraph" w:styleId="Header">
    <w:name w:val="header"/>
    <w:basedOn w:val="Normal"/>
    <w:link w:val="HeaderChar"/>
    <w:uiPriority w:val="99"/>
    <w:unhideWhenUsed/>
    <w:rsid w:val="00994B35"/>
    <w:pPr>
      <w:tabs>
        <w:tab w:val="center" w:pos="4680"/>
        <w:tab w:val="right" w:pos="9360"/>
      </w:tabs>
    </w:pPr>
    <w:rPr>
      <w:lang w:val="x-none" w:eastAsia="x-none"/>
    </w:rPr>
  </w:style>
  <w:style w:type="character" w:customStyle="1" w:styleId="HeaderChar">
    <w:name w:val="Header Char"/>
    <w:link w:val="Header"/>
    <w:uiPriority w:val="99"/>
    <w:rsid w:val="00994B35"/>
    <w:rPr>
      <w:rFonts w:eastAsia="MS Mincho"/>
      <w:sz w:val="24"/>
      <w:szCs w:val="24"/>
    </w:rPr>
  </w:style>
  <w:style w:type="paragraph" w:styleId="Footer">
    <w:name w:val="footer"/>
    <w:basedOn w:val="Normal"/>
    <w:link w:val="FooterChar"/>
    <w:uiPriority w:val="99"/>
    <w:unhideWhenUsed/>
    <w:rsid w:val="00994B35"/>
    <w:pPr>
      <w:tabs>
        <w:tab w:val="center" w:pos="4680"/>
        <w:tab w:val="right" w:pos="9360"/>
      </w:tabs>
    </w:pPr>
    <w:rPr>
      <w:lang w:val="x-none" w:eastAsia="x-none"/>
    </w:rPr>
  </w:style>
  <w:style w:type="character" w:customStyle="1" w:styleId="FooterChar">
    <w:name w:val="Footer Char"/>
    <w:link w:val="Footer"/>
    <w:uiPriority w:val="99"/>
    <w:rsid w:val="00994B35"/>
    <w:rPr>
      <w:rFonts w:eastAsia="MS Mincho"/>
      <w:sz w:val="24"/>
      <w:szCs w:val="24"/>
    </w:rPr>
  </w:style>
  <w:style w:type="paragraph" w:styleId="EndnoteText">
    <w:name w:val="endnote text"/>
    <w:basedOn w:val="Normal"/>
    <w:link w:val="EndnoteTextChar"/>
    <w:semiHidden/>
    <w:unhideWhenUsed/>
    <w:rsid w:val="0012297D"/>
    <w:rPr>
      <w:sz w:val="20"/>
      <w:szCs w:val="20"/>
      <w:lang w:val="x-none" w:eastAsia="x-none"/>
    </w:rPr>
  </w:style>
  <w:style w:type="character" w:customStyle="1" w:styleId="EndnoteTextChar">
    <w:name w:val="Endnote Text Char"/>
    <w:link w:val="EndnoteText"/>
    <w:semiHidden/>
    <w:rsid w:val="0012297D"/>
    <w:rPr>
      <w:rFonts w:eastAsia="MS Mincho"/>
    </w:rPr>
  </w:style>
  <w:style w:type="character" w:styleId="EndnoteReference">
    <w:name w:val="endnote reference"/>
    <w:semiHidden/>
    <w:unhideWhenUsed/>
    <w:rsid w:val="0012297D"/>
    <w:rPr>
      <w:vertAlign w:val="superscript"/>
    </w:rPr>
  </w:style>
  <w:style w:type="paragraph" w:styleId="FootnoteText">
    <w:name w:val="footnote text"/>
    <w:aliases w:val="Char,Footnote Text Char Char,Char Char Char,Char Char2 Char,Footnote Text Char Char Char Char,Footnote Text Char Char Char Char Char Char Char Char,Char Char Char Char Char Char Char Char Char Char Char,Char Char Char Char Char Char"/>
    <w:basedOn w:val="Normal"/>
    <w:link w:val="FootnoteTextChar"/>
    <w:unhideWhenUsed/>
    <w:qFormat/>
    <w:rsid w:val="0012297D"/>
    <w:rPr>
      <w:sz w:val="20"/>
      <w:szCs w:val="20"/>
      <w:lang w:val="x-none" w:eastAsia="x-none"/>
    </w:rPr>
  </w:style>
  <w:style w:type="character" w:customStyle="1" w:styleId="FootnoteTextChar">
    <w:name w:val="Footnote Text Char"/>
    <w:aliases w:val="Char Char,Footnote Text Char Char Char,Char Char Char Char,Char Char2 Char Char,Footnote Text Char Char Char Char Char,Footnote Text Char Char Char Char Char Char Char Char Char,Char Char Char Char Char Char Char"/>
    <w:link w:val="FootnoteText"/>
    <w:qFormat/>
    <w:rsid w:val="0012297D"/>
    <w:rPr>
      <w:rFonts w:eastAsia="MS Mincho"/>
    </w:rPr>
  </w:style>
  <w:style w:type="character" w:styleId="FootnoteReference">
    <w:name w:val="footnote reference"/>
    <w:unhideWhenUsed/>
    <w:qFormat/>
    <w:rsid w:val="0012297D"/>
    <w:rPr>
      <w:vertAlign w:val="superscript"/>
    </w:rPr>
  </w:style>
  <w:style w:type="paragraph" w:styleId="ListParagraph">
    <w:name w:val="List Paragraph"/>
    <w:aliases w:val="Body of text,List Paragraph1,Colorful List - Accent 11,Body of text+1,Body of text+2,Body of text+3,List Paragraph11,HEADING 1,Medium Grid 1 - Accent 21,Heading 11,Heading 111,Heading 12,Heading 10,Colorful List - Accent 111,sub-section"/>
    <w:basedOn w:val="Normal"/>
    <w:link w:val="ListParagraphChar"/>
    <w:uiPriority w:val="34"/>
    <w:qFormat/>
    <w:rsid w:val="00B45661"/>
    <w:pPr>
      <w:ind w:left="720"/>
      <w:contextualSpacing/>
    </w:pPr>
    <w:rPr>
      <w:lang w:val="x-none" w:eastAsia="x-none"/>
    </w:rPr>
  </w:style>
  <w:style w:type="paragraph" w:customStyle="1" w:styleId="author">
    <w:name w:val="author"/>
    <w:basedOn w:val="Normal"/>
    <w:qFormat/>
    <w:rsid w:val="00CA38C0"/>
    <w:pPr>
      <w:spacing w:line="260" w:lineRule="atLeast"/>
      <w:jc w:val="right"/>
    </w:pPr>
    <w:rPr>
      <w:rFonts w:eastAsia="Times New Roman"/>
      <w:szCs w:val="20"/>
      <w:lang w:val="en-AU" w:eastAsia="tr-TR"/>
    </w:rPr>
  </w:style>
  <w:style w:type="paragraph" w:customStyle="1" w:styleId="abstract">
    <w:name w:val="abstract"/>
    <w:basedOn w:val="Normal"/>
    <w:qFormat/>
    <w:rsid w:val="00947D41"/>
    <w:pPr>
      <w:spacing w:before="120" w:line="220" w:lineRule="atLeast"/>
      <w:ind w:left="567" w:right="526"/>
      <w:jc w:val="both"/>
    </w:pPr>
    <w:rPr>
      <w:rFonts w:eastAsia="Times New Roman"/>
      <w:i/>
      <w:szCs w:val="20"/>
      <w:lang w:val="en-AU" w:eastAsia="tr-TR"/>
    </w:rPr>
  </w:style>
  <w:style w:type="character" w:customStyle="1" w:styleId="ListParagraphChar">
    <w:name w:val="List Paragraph Char"/>
    <w:aliases w:val="Body of text Char,List Paragraph1 Char,Colorful List - Accent 11 Char,Body of text+1 Char,Body of text+2 Char,Body of text+3 Char,List Paragraph11 Char,HEADING 1 Char,Medium Grid 1 - Accent 21 Char,Heading 11 Char,Heading 111 Char"/>
    <w:link w:val="ListParagraph"/>
    <w:uiPriority w:val="34"/>
    <w:qFormat/>
    <w:rsid w:val="003F397D"/>
    <w:rPr>
      <w:rFonts w:eastAsia="MS Mincho"/>
      <w:sz w:val="24"/>
      <w:szCs w:val="24"/>
    </w:rPr>
  </w:style>
  <w:style w:type="table" w:styleId="TableGrid">
    <w:name w:val="Table Grid"/>
    <w:basedOn w:val="TableNormal"/>
    <w:uiPriority w:val="59"/>
    <w:qFormat/>
    <w:rsid w:val="0073529B"/>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uiPriority w:val="20"/>
    <w:qFormat/>
    <w:rsid w:val="0012623B"/>
    <w:rPr>
      <w:i/>
      <w:iCs/>
    </w:rPr>
  </w:style>
  <w:style w:type="paragraph" w:styleId="BodyTextIndent">
    <w:name w:val="Body Text Indent"/>
    <w:basedOn w:val="Normal"/>
    <w:link w:val="BodyTextIndentChar"/>
    <w:unhideWhenUsed/>
    <w:rsid w:val="008D24A3"/>
    <w:pPr>
      <w:spacing w:after="120"/>
      <w:ind w:left="360"/>
    </w:pPr>
    <w:rPr>
      <w:lang w:val="x-none" w:eastAsia="x-none"/>
    </w:rPr>
  </w:style>
  <w:style w:type="character" w:customStyle="1" w:styleId="BodyTextIndentChar">
    <w:name w:val="Body Text Indent Char"/>
    <w:link w:val="BodyTextIndent"/>
    <w:rsid w:val="008D24A3"/>
    <w:rPr>
      <w:rFonts w:eastAsia="MS Mincho"/>
      <w:sz w:val="24"/>
      <w:szCs w:val="24"/>
    </w:rPr>
  </w:style>
  <w:style w:type="paragraph" w:styleId="HTMLPreformatted">
    <w:name w:val="HTML Preformatted"/>
    <w:basedOn w:val="Normal"/>
    <w:link w:val="HTMLPreformattedChar"/>
    <w:uiPriority w:val="99"/>
    <w:unhideWhenUsed/>
    <w:rsid w:val="00F80D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rsid w:val="00F80D4A"/>
    <w:rPr>
      <w:rFonts w:ascii="Courier New" w:hAnsi="Courier New" w:cs="Courier New"/>
    </w:rPr>
  </w:style>
  <w:style w:type="character" w:customStyle="1" w:styleId="st">
    <w:name w:val="st"/>
    <w:rsid w:val="003A608D"/>
  </w:style>
  <w:style w:type="paragraph" w:customStyle="1" w:styleId="Default">
    <w:name w:val="Default"/>
    <w:qFormat/>
    <w:rsid w:val="00FB1C7F"/>
    <w:pPr>
      <w:autoSpaceDE w:val="0"/>
      <w:autoSpaceDN w:val="0"/>
      <w:adjustRightInd w:val="0"/>
      <w:spacing w:after="160" w:line="259" w:lineRule="auto"/>
    </w:pPr>
    <w:rPr>
      <w:color w:val="000000"/>
      <w:lang w:val="tr-TR" w:eastAsia="tr-TR"/>
    </w:rPr>
  </w:style>
  <w:style w:type="paragraph" w:customStyle="1" w:styleId="reference">
    <w:name w:val="reference"/>
    <w:basedOn w:val="Normal"/>
    <w:rsid w:val="00010154"/>
    <w:pPr>
      <w:keepLines/>
      <w:spacing w:after="160" w:line="220" w:lineRule="atLeast"/>
      <w:ind w:left="560" w:hanging="560"/>
      <w:jc w:val="both"/>
    </w:pPr>
    <w:rPr>
      <w:rFonts w:eastAsia="Times New Roman"/>
      <w:szCs w:val="20"/>
      <w:lang w:val="en-AU" w:eastAsia="tr-TR"/>
    </w:rPr>
  </w:style>
  <w:style w:type="paragraph" w:styleId="BodyText">
    <w:name w:val="Body Text"/>
    <w:basedOn w:val="Normal"/>
    <w:link w:val="BodyTextChar"/>
    <w:unhideWhenUsed/>
    <w:rsid w:val="0024757D"/>
    <w:pPr>
      <w:spacing w:after="120"/>
    </w:pPr>
    <w:rPr>
      <w:lang w:val="x-none" w:eastAsia="x-none"/>
    </w:rPr>
  </w:style>
  <w:style w:type="character" w:customStyle="1" w:styleId="BodyTextChar">
    <w:name w:val="Body Text Char"/>
    <w:link w:val="BodyText"/>
    <w:rsid w:val="0024757D"/>
    <w:rPr>
      <w:rFonts w:eastAsia="MS Mincho"/>
      <w:sz w:val="24"/>
      <w:szCs w:val="24"/>
    </w:rPr>
  </w:style>
  <w:style w:type="paragraph" w:customStyle="1" w:styleId="txbrp3">
    <w:name w:val="txbrp3"/>
    <w:basedOn w:val="Normal"/>
    <w:rsid w:val="00113CF2"/>
    <w:pPr>
      <w:spacing w:before="100" w:beforeAutospacing="1" w:after="100" w:afterAutospacing="1"/>
    </w:pPr>
    <w:rPr>
      <w:rFonts w:eastAsia="Times New Roman"/>
    </w:rPr>
  </w:style>
  <w:style w:type="character" w:customStyle="1" w:styleId="hps">
    <w:name w:val="hps"/>
    <w:rsid w:val="00541C12"/>
  </w:style>
  <w:style w:type="character" w:customStyle="1" w:styleId="Heading1Char">
    <w:name w:val="Heading 1 Char"/>
    <w:link w:val="Heading1"/>
    <w:uiPriority w:val="9"/>
    <w:rsid w:val="00541C12"/>
    <w:rPr>
      <w:rFonts w:ascii="Century Gothic" w:hAnsi="Century Gothic"/>
      <w:b/>
      <w:color w:val="000000"/>
      <w:szCs w:val="32"/>
      <w:lang w:val="id-ID"/>
    </w:rPr>
  </w:style>
  <w:style w:type="character" w:customStyle="1" w:styleId="blackclass">
    <w:name w:val="blackclass"/>
    <w:rsid w:val="00541C12"/>
  </w:style>
  <w:style w:type="character" w:customStyle="1" w:styleId="Heading2Char">
    <w:name w:val="Heading 2 Char"/>
    <w:link w:val="Heading2"/>
    <w:semiHidden/>
    <w:rsid w:val="00C05AC0"/>
    <w:rPr>
      <w:rFonts w:ascii="Cambria" w:eastAsia="Times New Roman" w:hAnsi="Cambria" w:cs="Times New Roman"/>
      <w:b/>
      <w:bCs/>
      <w:i/>
      <w:iCs/>
      <w:sz w:val="28"/>
      <w:szCs w:val="28"/>
    </w:rPr>
  </w:style>
  <w:style w:type="character" w:customStyle="1" w:styleId="TitleChar">
    <w:name w:val="Title Char"/>
    <w:link w:val="Title"/>
    <w:uiPriority w:val="10"/>
    <w:rsid w:val="00C80ED1"/>
    <w:rPr>
      <w:rFonts w:ascii="Century Gothic" w:hAnsi="Century Gothic"/>
      <w:b/>
      <w:spacing w:val="-10"/>
      <w:kern w:val="28"/>
      <w:sz w:val="34"/>
      <w:szCs w:val="56"/>
      <w:lang w:val="id-ID"/>
    </w:rPr>
  </w:style>
  <w:style w:type="character" w:styleId="CommentReference">
    <w:name w:val="annotation reference"/>
    <w:uiPriority w:val="99"/>
    <w:unhideWhenUsed/>
    <w:rsid w:val="00E2375D"/>
    <w:rPr>
      <w:sz w:val="16"/>
      <w:szCs w:val="16"/>
    </w:rPr>
  </w:style>
  <w:style w:type="paragraph" w:styleId="CommentText">
    <w:name w:val="annotation text"/>
    <w:basedOn w:val="Normal"/>
    <w:link w:val="CommentTextChar"/>
    <w:uiPriority w:val="99"/>
    <w:unhideWhenUsed/>
    <w:rsid w:val="00E2375D"/>
    <w:rPr>
      <w:sz w:val="20"/>
      <w:szCs w:val="20"/>
    </w:rPr>
  </w:style>
  <w:style w:type="character" w:customStyle="1" w:styleId="CommentTextChar">
    <w:name w:val="Comment Text Char"/>
    <w:link w:val="CommentText"/>
    <w:uiPriority w:val="99"/>
    <w:rsid w:val="00E2375D"/>
    <w:rPr>
      <w:rFonts w:eastAsia="MS Mincho"/>
      <w:lang w:val="en-US" w:eastAsia="en-US"/>
    </w:rPr>
  </w:style>
  <w:style w:type="paragraph" w:styleId="CommentSubject">
    <w:name w:val="annotation subject"/>
    <w:basedOn w:val="CommentText"/>
    <w:next w:val="CommentText"/>
    <w:link w:val="CommentSubjectChar"/>
    <w:semiHidden/>
    <w:unhideWhenUsed/>
    <w:rsid w:val="00E2375D"/>
    <w:rPr>
      <w:b/>
      <w:bCs/>
    </w:rPr>
  </w:style>
  <w:style w:type="character" w:customStyle="1" w:styleId="CommentSubjectChar">
    <w:name w:val="Comment Subject Char"/>
    <w:link w:val="CommentSubject"/>
    <w:semiHidden/>
    <w:rsid w:val="00E2375D"/>
    <w:rPr>
      <w:rFonts w:eastAsia="MS Mincho"/>
      <w:b/>
      <w:bCs/>
      <w:lang w:val="en-US" w:eastAsia="en-US"/>
    </w:rPr>
  </w:style>
  <w:style w:type="paragraph" w:customStyle="1" w:styleId="JEREauthor">
    <w:name w:val="JERE_author"/>
    <w:basedOn w:val="Normal"/>
    <w:link w:val="JEREauthorChar"/>
    <w:qFormat/>
    <w:rsid w:val="00A97E95"/>
    <w:pPr>
      <w:spacing w:line="360" w:lineRule="auto"/>
      <w:ind w:right="193"/>
    </w:pPr>
    <w:rPr>
      <w:rFonts w:ascii="Cambria" w:eastAsia="Times New Roman" w:hAnsi="Cambria"/>
      <w:b/>
      <w:lang w:val="x-none" w:eastAsia="tr-TR"/>
    </w:rPr>
  </w:style>
  <w:style w:type="character" w:customStyle="1" w:styleId="JEREauthorChar">
    <w:name w:val="JERE_author Char"/>
    <w:link w:val="JEREauthor"/>
    <w:rsid w:val="00A97E95"/>
    <w:rPr>
      <w:rFonts w:ascii="Cambria" w:hAnsi="Cambria"/>
      <w:b/>
      <w:sz w:val="24"/>
      <w:szCs w:val="24"/>
      <w:lang w:eastAsia="tr-TR"/>
    </w:rPr>
  </w:style>
  <w:style w:type="paragraph" w:styleId="NoSpacing">
    <w:name w:val="No Spacing"/>
    <w:link w:val="NoSpacingChar"/>
    <w:uiPriority w:val="1"/>
    <w:qFormat/>
    <w:rsid w:val="00A97E95"/>
    <w:rPr>
      <w:rFonts w:ascii="Calibri" w:eastAsia="Calibri" w:hAnsi="Calibri"/>
      <w:sz w:val="22"/>
      <w:szCs w:val="22"/>
      <w:lang w:val="id-ID"/>
    </w:rPr>
  </w:style>
  <w:style w:type="paragraph" w:customStyle="1" w:styleId="JEREJudul">
    <w:name w:val="JERE_Judul"/>
    <w:basedOn w:val="Normal"/>
    <w:link w:val="JEREJudulChar"/>
    <w:qFormat/>
    <w:rsid w:val="005C7330"/>
    <w:pPr>
      <w:ind w:right="190"/>
    </w:pPr>
    <w:rPr>
      <w:rFonts w:ascii="Cambria" w:eastAsia="Times New Roman" w:hAnsi="Cambria"/>
      <w:b/>
      <w:sz w:val="32"/>
      <w:szCs w:val="20"/>
      <w:lang w:val="x-none" w:eastAsia="tr-TR"/>
    </w:rPr>
  </w:style>
  <w:style w:type="character" w:customStyle="1" w:styleId="JEREJudulChar">
    <w:name w:val="JERE_Judul Char"/>
    <w:link w:val="JEREJudul"/>
    <w:rsid w:val="005C7330"/>
    <w:rPr>
      <w:rFonts w:ascii="Cambria" w:hAnsi="Cambria"/>
      <w:b/>
      <w:sz w:val="32"/>
      <w:lang w:eastAsia="tr-TR"/>
    </w:rPr>
  </w:style>
  <w:style w:type="paragraph" w:styleId="Caption">
    <w:name w:val="caption"/>
    <w:basedOn w:val="Normal"/>
    <w:next w:val="Normal"/>
    <w:unhideWhenUsed/>
    <w:qFormat/>
    <w:rsid w:val="00CF01EE"/>
    <w:pPr>
      <w:spacing w:after="200"/>
      <w:ind w:left="-5" w:right="-8" w:hanging="10"/>
      <w:jc w:val="both"/>
    </w:pPr>
    <w:rPr>
      <w:rFonts w:eastAsia="Times New Roman"/>
      <w:i/>
      <w:iCs/>
      <w:color w:val="44546A"/>
      <w:sz w:val="18"/>
      <w:szCs w:val="18"/>
      <w:lang w:val="en-AU" w:eastAsia="en-AU"/>
    </w:rPr>
  </w:style>
  <w:style w:type="table" w:customStyle="1" w:styleId="PlainTable21">
    <w:name w:val="Plain Table 21"/>
    <w:basedOn w:val="TableNormal"/>
    <w:uiPriority w:val="42"/>
    <w:rsid w:val="00CF01EE"/>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Bibliography">
    <w:name w:val="Bibliography"/>
    <w:basedOn w:val="Normal"/>
    <w:next w:val="Normal"/>
    <w:uiPriority w:val="37"/>
    <w:unhideWhenUsed/>
    <w:rsid w:val="00CF01EE"/>
    <w:pPr>
      <w:spacing w:before="160" w:line="260" w:lineRule="atLeast"/>
      <w:jc w:val="both"/>
    </w:pPr>
    <w:rPr>
      <w:rFonts w:eastAsia="Times New Roman"/>
      <w:szCs w:val="20"/>
      <w:lang w:val="en-AU" w:eastAsia="tr-TR"/>
    </w:rPr>
  </w:style>
  <w:style w:type="character" w:customStyle="1" w:styleId="BodyTextIndent3Char">
    <w:name w:val="Body Text Indent 3 Char"/>
    <w:link w:val="BodyTextIndent3"/>
    <w:rsid w:val="000410E8"/>
    <w:rPr>
      <w:rFonts w:eastAsia="MS Mincho"/>
      <w:sz w:val="24"/>
      <w:szCs w:val="24"/>
    </w:rPr>
  </w:style>
  <w:style w:type="paragraph" w:styleId="BodyText2">
    <w:name w:val="Body Text 2"/>
    <w:basedOn w:val="Normal"/>
    <w:link w:val="BodyText2Char"/>
    <w:uiPriority w:val="99"/>
    <w:semiHidden/>
    <w:unhideWhenUsed/>
    <w:rsid w:val="00D41FDD"/>
    <w:pPr>
      <w:spacing w:after="120" w:line="480" w:lineRule="auto"/>
    </w:pPr>
    <w:rPr>
      <w:lang w:val="x-none" w:eastAsia="x-none"/>
    </w:rPr>
  </w:style>
  <w:style w:type="character" w:customStyle="1" w:styleId="BodyText2Char">
    <w:name w:val="Body Text 2 Char"/>
    <w:link w:val="BodyText2"/>
    <w:uiPriority w:val="99"/>
    <w:semiHidden/>
    <w:rsid w:val="00D41FDD"/>
    <w:rPr>
      <w:rFonts w:eastAsia="MS Mincho"/>
      <w:sz w:val="24"/>
      <w:szCs w:val="24"/>
    </w:rPr>
  </w:style>
  <w:style w:type="paragraph" w:customStyle="1" w:styleId="Wahanaauthor">
    <w:name w:val="Wahana_author"/>
    <w:basedOn w:val="Normal"/>
    <w:link w:val="WahanaauthorChar"/>
    <w:qFormat/>
    <w:rsid w:val="00D23711"/>
    <w:pPr>
      <w:spacing w:line="360" w:lineRule="auto"/>
      <w:ind w:right="193"/>
    </w:pPr>
    <w:rPr>
      <w:rFonts w:ascii="Cambria" w:eastAsia="Times New Roman" w:hAnsi="Cambria"/>
      <w:b/>
      <w:lang w:val="x-none" w:eastAsia="tr-TR"/>
    </w:rPr>
  </w:style>
  <w:style w:type="character" w:customStyle="1" w:styleId="WahanaauthorChar">
    <w:name w:val="Wahana_author Char"/>
    <w:link w:val="Wahanaauthor"/>
    <w:rsid w:val="00D23711"/>
    <w:rPr>
      <w:rFonts w:ascii="Cambria" w:hAnsi="Cambria"/>
      <w:b/>
      <w:sz w:val="24"/>
      <w:szCs w:val="24"/>
      <w:lang w:eastAsia="tr-TR"/>
    </w:rPr>
  </w:style>
  <w:style w:type="character" w:customStyle="1" w:styleId="SebutanYangBelumTerselesaikan1">
    <w:name w:val="Sebutan Yang Belum Terselesaikan1"/>
    <w:uiPriority w:val="99"/>
    <w:semiHidden/>
    <w:unhideWhenUsed/>
    <w:rsid w:val="00E528F2"/>
    <w:rPr>
      <w:color w:val="605E5C"/>
      <w:shd w:val="clear" w:color="auto" w:fill="E1DFDD"/>
    </w:rPr>
  </w:style>
  <w:style w:type="table" w:customStyle="1" w:styleId="PlainTable22">
    <w:name w:val="Plain Table 22"/>
    <w:basedOn w:val="TableNormal"/>
    <w:uiPriority w:val="42"/>
    <w:rsid w:val="00BD4929"/>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
    <w:name w:val="Plain Table 51"/>
    <w:basedOn w:val="TableNormal"/>
    <w:uiPriority w:val="45"/>
    <w:rsid w:val="00542003"/>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
    <w:name w:val="tabel"/>
    <w:basedOn w:val="Normal"/>
    <w:link w:val="tabelChar"/>
    <w:qFormat/>
    <w:rsid w:val="00D94123"/>
    <w:pPr>
      <w:spacing w:line="360" w:lineRule="auto"/>
      <w:ind w:left="360" w:firstLine="540"/>
      <w:jc w:val="center"/>
    </w:pPr>
    <w:rPr>
      <w:rFonts w:eastAsia="Calibri"/>
    </w:rPr>
  </w:style>
  <w:style w:type="character" w:customStyle="1" w:styleId="tabelChar">
    <w:name w:val="tabel Char"/>
    <w:link w:val="tabel"/>
    <w:rsid w:val="00D94123"/>
    <w:rPr>
      <w:rFonts w:eastAsia="Calibri"/>
      <w:sz w:val="24"/>
      <w:szCs w:val="24"/>
    </w:rPr>
  </w:style>
  <w:style w:type="paragraph" w:customStyle="1" w:styleId="judultabel">
    <w:name w:val="judul tabel"/>
    <w:basedOn w:val="Normal"/>
    <w:link w:val="judultabelKAR"/>
    <w:qFormat/>
    <w:rsid w:val="00D94123"/>
    <w:pPr>
      <w:tabs>
        <w:tab w:val="left" w:pos="1245"/>
      </w:tabs>
      <w:jc w:val="center"/>
    </w:pPr>
    <w:rPr>
      <w:rFonts w:eastAsia="Calibri"/>
      <w:bCs/>
      <w:noProof/>
    </w:rPr>
  </w:style>
  <w:style w:type="character" w:customStyle="1" w:styleId="judultabelKAR">
    <w:name w:val="judul tabel KAR"/>
    <w:link w:val="judultabel"/>
    <w:rsid w:val="00D94123"/>
    <w:rPr>
      <w:rFonts w:eastAsia="Calibri"/>
      <w:bCs/>
      <w:noProof/>
      <w:sz w:val="24"/>
      <w:szCs w:val="24"/>
    </w:rPr>
  </w:style>
  <w:style w:type="paragraph" w:customStyle="1" w:styleId="bab">
    <w:name w:val="bab"/>
    <w:basedOn w:val="Heading1"/>
    <w:link w:val="babChar"/>
    <w:qFormat/>
    <w:rsid w:val="000B7E44"/>
    <w:pPr>
      <w:keepLines w:val="0"/>
      <w:numPr>
        <w:numId w:val="2"/>
      </w:numPr>
      <w:spacing w:before="240" w:after="240" w:line="240" w:lineRule="auto"/>
      <w:ind w:left="284" w:hanging="284"/>
      <w:jc w:val="left"/>
    </w:pPr>
    <w:rPr>
      <w:rFonts w:ascii="Cambria" w:hAnsi="Cambria" w:cs="Arial"/>
      <w:bCs/>
      <w:color w:val="auto"/>
      <w:kern w:val="32"/>
      <w:sz w:val="22"/>
      <w:szCs w:val="22"/>
      <w:lang w:val="en-US" w:eastAsia="ja-JP"/>
    </w:rPr>
  </w:style>
  <w:style w:type="character" w:customStyle="1" w:styleId="babChar">
    <w:name w:val="bab Char"/>
    <w:link w:val="bab"/>
    <w:rsid w:val="000B7E44"/>
    <w:rPr>
      <w:rFonts w:ascii="Cambria" w:hAnsi="Cambria" w:cs="Arial"/>
      <w:b/>
      <w:bCs/>
      <w:kern w:val="32"/>
      <w:sz w:val="22"/>
      <w:szCs w:val="22"/>
      <w:lang w:eastAsia="ja-JP"/>
    </w:rPr>
  </w:style>
  <w:style w:type="paragraph" w:customStyle="1" w:styleId="tabletext">
    <w:name w:val="tabletext"/>
    <w:basedOn w:val="Normal"/>
    <w:rsid w:val="000066B1"/>
    <w:pPr>
      <w:spacing w:line="220" w:lineRule="atLeast"/>
      <w:jc w:val="both"/>
    </w:pPr>
    <w:rPr>
      <w:rFonts w:eastAsia="Times New Roman"/>
      <w:sz w:val="20"/>
      <w:szCs w:val="20"/>
      <w:lang w:val="en-AU" w:eastAsia="tr-TR"/>
    </w:rPr>
  </w:style>
  <w:style w:type="paragraph" w:customStyle="1" w:styleId="0">
    <w:name w:val="0"/>
    <w:basedOn w:val="BodyTextIndent"/>
    <w:link w:val="0Char"/>
    <w:rsid w:val="000D329D"/>
    <w:pPr>
      <w:spacing w:after="0" w:line="480" w:lineRule="auto"/>
      <w:ind w:left="0" w:firstLine="720"/>
      <w:jc w:val="both"/>
    </w:pPr>
    <w:rPr>
      <w:rFonts w:ascii="Arial" w:eastAsia="Times New Roman" w:hAnsi="Arial" w:cs="Arial"/>
      <w:lang w:val="en-US" w:eastAsia="en-US"/>
    </w:rPr>
  </w:style>
  <w:style w:type="character" w:customStyle="1" w:styleId="0Char">
    <w:name w:val="0 Char"/>
    <w:link w:val="0"/>
    <w:rsid w:val="000D329D"/>
    <w:rPr>
      <w:rFonts w:ascii="Arial" w:hAnsi="Arial" w:cs="Arial"/>
      <w:sz w:val="24"/>
      <w:szCs w:val="24"/>
      <w:lang w:val="en-US" w:eastAsia="en-US"/>
    </w:rPr>
  </w:style>
  <w:style w:type="paragraph" w:customStyle="1" w:styleId="1">
    <w:name w:val="1"/>
    <w:basedOn w:val="Normal"/>
    <w:link w:val="1Char"/>
    <w:rsid w:val="000D329D"/>
    <w:pPr>
      <w:spacing w:line="480" w:lineRule="auto"/>
      <w:ind w:left="852" w:firstLine="566"/>
      <w:jc w:val="both"/>
    </w:pPr>
    <w:rPr>
      <w:rFonts w:ascii="Arial" w:eastAsia="Times New Roman" w:hAnsi="Arial" w:cs="Arial"/>
      <w:lang w:val="id-ID"/>
    </w:rPr>
  </w:style>
  <w:style w:type="character" w:customStyle="1" w:styleId="1Char">
    <w:name w:val="1 Char"/>
    <w:link w:val="1"/>
    <w:rsid w:val="000D329D"/>
    <w:rPr>
      <w:rFonts w:ascii="Arial" w:hAnsi="Arial" w:cs="Arial"/>
      <w:sz w:val="24"/>
      <w:szCs w:val="24"/>
      <w:lang w:val="id-ID" w:eastAsia="en-US"/>
    </w:rPr>
  </w:style>
  <w:style w:type="character" w:customStyle="1" w:styleId="apple-style-span">
    <w:name w:val="apple-style-span"/>
    <w:rsid w:val="000D329D"/>
  </w:style>
  <w:style w:type="character" w:customStyle="1" w:styleId="NoSpacingChar">
    <w:name w:val="No Spacing Char"/>
    <w:link w:val="NoSpacing"/>
    <w:uiPriority w:val="1"/>
    <w:locked/>
    <w:rsid w:val="002D6010"/>
    <w:rPr>
      <w:rFonts w:ascii="Calibri" w:eastAsia="Calibri" w:hAnsi="Calibri"/>
      <w:sz w:val="22"/>
      <w:szCs w:val="22"/>
      <w:lang w:val="id-ID" w:eastAsia="en-US"/>
    </w:rPr>
  </w:style>
  <w:style w:type="character" w:customStyle="1" w:styleId="jlqj4b">
    <w:name w:val="jlqj4b"/>
    <w:rsid w:val="00BA777A"/>
  </w:style>
  <w:style w:type="character" w:customStyle="1" w:styleId="FontStyle16">
    <w:name w:val="Font Style16"/>
    <w:uiPriority w:val="99"/>
    <w:rsid w:val="00EE1587"/>
    <w:rPr>
      <w:rFonts w:ascii="Times New Roman" w:hAnsi="Times New Roman" w:cs="Times New Roman"/>
      <w:i/>
      <w:iCs/>
      <w:sz w:val="22"/>
      <w:szCs w:val="22"/>
    </w:rPr>
  </w:style>
  <w:style w:type="character" w:customStyle="1" w:styleId="FontStyle15">
    <w:name w:val="Font Style15"/>
    <w:uiPriority w:val="99"/>
    <w:rsid w:val="00EE1587"/>
    <w:rPr>
      <w:rFonts w:ascii="Times New Roman" w:hAnsi="Times New Roman" w:cs="Times New Roman"/>
      <w:sz w:val="20"/>
      <w:szCs w:val="20"/>
    </w:rPr>
  </w:style>
  <w:style w:type="character" w:customStyle="1" w:styleId="y2iqfc">
    <w:name w:val="y2iqfc"/>
    <w:rsid w:val="001F0BF2"/>
  </w:style>
  <w:style w:type="table" w:customStyle="1" w:styleId="TableGrid1">
    <w:name w:val="Table Grid1"/>
    <w:basedOn w:val="TableNormal"/>
    <w:next w:val="TableGrid"/>
    <w:uiPriority w:val="59"/>
    <w:rsid w:val="005833CC"/>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B41F00"/>
    <w:pPr>
      <w:widowControl w:val="0"/>
      <w:autoSpaceDE w:val="0"/>
      <w:autoSpaceDN w:val="0"/>
      <w:spacing w:line="275" w:lineRule="exact"/>
      <w:ind w:left="107"/>
    </w:pPr>
    <w:rPr>
      <w:rFonts w:eastAsia="Times New Roman"/>
      <w:sz w:val="22"/>
      <w:szCs w:val="22"/>
      <w:lang w:val="id-ID"/>
    </w:rPr>
  </w:style>
  <w:style w:type="character" w:customStyle="1" w:styleId="lrzxr">
    <w:name w:val="lrzxr"/>
    <w:rsid w:val="0031102F"/>
  </w:style>
  <w:style w:type="character" w:customStyle="1" w:styleId="markedcontent">
    <w:name w:val="markedcontent"/>
    <w:rsid w:val="0031102F"/>
  </w:style>
  <w:style w:type="table" w:customStyle="1" w:styleId="TableGrid2">
    <w:name w:val="Table Grid2"/>
    <w:basedOn w:val="TableNormal"/>
    <w:next w:val="TableGrid"/>
    <w:rsid w:val="003A74D3"/>
    <w:rPr>
      <w:rFonts w:ascii="Calibri" w:eastAsia="Calibri" w:hAnsi="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951D0"/>
    <w:rPr>
      <w:rFonts w:eastAsia="SimSun"/>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TableNormal"/>
    <w:uiPriority w:val="42"/>
    <w:rsid w:val="00786037"/>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0">
    <w:name w:val="Plain Table 22"/>
    <w:basedOn w:val="TableNormal"/>
    <w:next w:val="PlainTable22"/>
    <w:uiPriority w:val="42"/>
    <w:rsid w:val="00786037"/>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0">
    <w:name w:val="Plain Table 51"/>
    <w:basedOn w:val="TableNormal"/>
    <w:next w:val="PlainTable51"/>
    <w:uiPriority w:val="45"/>
    <w:rsid w:val="00786037"/>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fontstyle01">
    <w:name w:val="fontstyle01"/>
    <w:rsid w:val="00414795"/>
    <w:rPr>
      <w:rFonts w:ascii="Times New Roman" w:hAnsi="Times New Roman" w:cs="Times New Roman"/>
      <w:color w:val="000000"/>
      <w:sz w:val="24"/>
      <w:szCs w:val="24"/>
    </w:rPr>
  </w:style>
  <w:style w:type="paragraph" w:customStyle="1" w:styleId="Isi">
    <w:name w:val="Isi"/>
    <w:basedOn w:val="Normal"/>
    <w:link w:val="IsiChar"/>
    <w:qFormat/>
    <w:rsid w:val="00E5598A"/>
    <w:pPr>
      <w:spacing w:after="160" w:line="259" w:lineRule="auto"/>
      <w:ind w:firstLine="284"/>
      <w:jc w:val="both"/>
    </w:pPr>
    <w:rPr>
      <w:rFonts w:eastAsia="Malgun Gothic" w:cs="Arial"/>
      <w:sz w:val="20"/>
      <w:szCs w:val="22"/>
      <w:lang w:eastAsia="ko-KR"/>
    </w:rPr>
  </w:style>
  <w:style w:type="character" w:customStyle="1" w:styleId="IsiChar">
    <w:name w:val="Isi Char"/>
    <w:link w:val="Isi"/>
    <w:rsid w:val="00E5598A"/>
    <w:rPr>
      <w:rFonts w:eastAsia="Malgun Gothic" w:cs="Arial"/>
      <w:szCs w:val="22"/>
      <w:lang w:eastAsia="ko-KR"/>
    </w:rPr>
  </w:style>
  <w:style w:type="character" w:customStyle="1" w:styleId="tlid-translation">
    <w:name w:val="tlid-translation"/>
    <w:basedOn w:val="DefaultParagraphFont"/>
    <w:rsid w:val="00824C3A"/>
  </w:style>
  <w:style w:type="paragraph" w:customStyle="1" w:styleId="IJASEITParagraph">
    <w:name w:val="IJASEIT Paragraph"/>
    <w:basedOn w:val="Normal"/>
    <w:link w:val="IJASEITParagraphChar"/>
    <w:rsid w:val="00BF1AC2"/>
    <w:pPr>
      <w:adjustRightInd w:val="0"/>
      <w:snapToGrid w:val="0"/>
      <w:ind w:firstLine="216"/>
      <w:jc w:val="both"/>
    </w:pPr>
    <w:rPr>
      <w:rFonts w:eastAsia="SimSun"/>
      <w:sz w:val="20"/>
      <w:lang w:val="en-AU" w:eastAsia="zh-CN"/>
    </w:rPr>
  </w:style>
  <w:style w:type="character" w:customStyle="1" w:styleId="IJASEITParagraphChar">
    <w:name w:val="IJASEIT Paragraph Char"/>
    <w:link w:val="IJASEITParagraph"/>
    <w:rsid w:val="00BF1AC2"/>
    <w:rPr>
      <w:rFonts w:eastAsia="SimSun"/>
      <w:szCs w:val="24"/>
      <w:lang w:val="en-AU" w:eastAsia="zh-CN"/>
    </w:rPr>
  </w:style>
  <w:style w:type="character" w:customStyle="1" w:styleId="viiyi">
    <w:name w:val="viiyi"/>
    <w:rsid w:val="00A40736"/>
  </w:style>
  <w:style w:type="table" w:customStyle="1" w:styleId="PlainTable212">
    <w:name w:val="Plain Table 212"/>
    <w:basedOn w:val="TableNormal"/>
    <w:uiPriority w:val="42"/>
    <w:rsid w:val="00987DD9"/>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3">
    <w:name w:val="Plain Table 23"/>
    <w:basedOn w:val="TableNormal"/>
    <w:next w:val="PlainTable22"/>
    <w:uiPriority w:val="42"/>
    <w:rsid w:val="00987DD9"/>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2">
    <w:name w:val="Plain Table 52"/>
    <w:basedOn w:val="TableNormal"/>
    <w:next w:val="PlainTable51"/>
    <w:uiPriority w:val="45"/>
    <w:rsid w:val="00987DD9"/>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987DD9"/>
    <w:pPr>
      <w:spacing w:before="100" w:beforeAutospacing="1" w:after="100" w:afterAutospacing="1"/>
    </w:pPr>
    <w:rPr>
      <w:rFonts w:eastAsia="Times New Roman"/>
      <w:lang w:val="en-ID"/>
    </w:rPr>
  </w:style>
  <w:style w:type="character" w:styleId="Strong">
    <w:name w:val="Strong"/>
    <w:uiPriority w:val="22"/>
    <w:qFormat/>
    <w:rsid w:val="00CF007B"/>
    <w:rPr>
      <w:rFonts w:cs="Times New Roman"/>
      <w:b/>
      <w:bCs/>
    </w:rPr>
  </w:style>
  <w:style w:type="table" w:customStyle="1" w:styleId="TableGrid4">
    <w:name w:val="Table Grid4"/>
    <w:basedOn w:val="TableNormal"/>
    <w:next w:val="TableGrid"/>
    <w:uiPriority w:val="59"/>
    <w:rsid w:val="00C7517C"/>
    <w:rPr>
      <w:rFonts w:ascii="Cambria" w:hAnsi="Cambria"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C7517C"/>
    <w:rPr>
      <w:rFonts w:ascii="Cambria" w:hAnsi="Cambria"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basedOn w:val="DefaultParagraphFont"/>
    <w:link w:val="Heading3"/>
    <w:semiHidden/>
    <w:rsid w:val="007A5C2E"/>
    <w:rPr>
      <w:rFonts w:ascii="Calibri Light" w:hAnsi="Calibri Light"/>
      <w:b/>
      <w:bCs/>
      <w:sz w:val="26"/>
      <w:szCs w:val="26"/>
    </w:rPr>
  </w:style>
  <w:style w:type="table" w:customStyle="1" w:styleId="PlainTable213">
    <w:name w:val="Plain Table 213"/>
    <w:basedOn w:val="TableNormal"/>
    <w:uiPriority w:val="42"/>
    <w:rsid w:val="007A5C2E"/>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
    <w:name w:val="Plain Table 24"/>
    <w:basedOn w:val="TableNormal"/>
    <w:next w:val="PlainTable22"/>
    <w:uiPriority w:val="42"/>
    <w:rsid w:val="007A5C2E"/>
    <w:pPr>
      <w:widowControl w:val="0"/>
      <w:autoSpaceDE w:val="0"/>
      <w:autoSpaceDN w:val="0"/>
    </w:pPr>
    <w:rPr>
      <w:rFonts w:ascii="Calibri" w:eastAsia="Calibri" w:hAnsi="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3">
    <w:name w:val="Plain Table 53"/>
    <w:basedOn w:val="TableNormal"/>
    <w:next w:val="PlainTable51"/>
    <w:uiPriority w:val="45"/>
    <w:rsid w:val="007A5C2E"/>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6">
    <w:name w:val="Table Grid6"/>
    <w:basedOn w:val="TableNormal"/>
    <w:next w:val="TableGrid"/>
    <w:uiPriority w:val="39"/>
    <w:qFormat/>
    <w:rsid w:val="000B7DCD"/>
    <w:rPr>
      <w:rFonts w:ascii="Calibri" w:eastAsia="Calibri" w:hAnsi="Calibri"/>
      <w:sz w:val="22"/>
      <w:szCs w:val="22"/>
      <w:lang w:val="id-ID" w:eastAsia="id-ID"/>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qFormat/>
    <w:rsid w:val="000B7DCD"/>
    <w:rPr>
      <w:rFonts w:ascii="Calibri" w:eastAsia="Calibri" w:hAnsi="Calibri"/>
      <w:sz w:val="22"/>
      <w:szCs w:val="22"/>
      <w:lang w:val="id-ID" w:eastAsia="id-ID"/>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basedOn w:val="DefaultParagraphFont"/>
    <w:uiPriority w:val="99"/>
    <w:semiHidden/>
    <w:unhideWhenUsed/>
    <w:rsid w:val="003428A5"/>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sz w:val="22"/>
      <w:szCs w:val="22"/>
    </w:rPr>
    <w:tblPr>
      <w:tblStyleRowBandSize w:val="1"/>
      <w:tblStyleColBandSize w:val="1"/>
    </w:tblPr>
  </w:style>
  <w:style w:type="table" w:customStyle="1" w:styleId="TableGrid8">
    <w:name w:val="Table Grid8"/>
    <w:basedOn w:val="TableNormal"/>
    <w:next w:val="TableGrid"/>
    <w:uiPriority w:val="39"/>
    <w:rsid w:val="00B8059D"/>
    <w:rPr>
      <w:rFonts w:ascii="Calibri" w:eastAsia="Calibri" w:hAnsi="Calibri" w:cs="Arial"/>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8/EUNXYZZm7Wcei9S+KG1hX8Xjg==">CgMxLjAyDmguYjYxb2N0b3RzcDBuOAByITFTZ3l4ZEUxa19maWtHOU5aSExBMFVBdlpSZFBhUWlnMw==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14</Pages>
  <Words>8538</Words>
  <Characters>48672</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crystal</dc:creator>
  <cp:lastModifiedBy>giovani sabrina</cp:lastModifiedBy>
  <cp:revision>6</cp:revision>
  <dcterms:created xsi:type="dcterms:W3CDTF">2025-03-23T15:00:00Z</dcterms:created>
  <dcterms:modified xsi:type="dcterms:W3CDTF">2025-11-09T11:15:00Z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8d9a7ecf-76c3-3813-b076-2faba8dc104c</vt:lpwstr>
  </property>
  <property fmtid="{D5CDD505-2E9C-101B-9397-08002B2CF9AE}" pid="24" name="Mendeley Citation Style_1">
    <vt:lpwstr>http://www.zotero.org/styles/apa</vt:lpwstr>
  </property>
</Properties>
</file>