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417E" w14:textId="0CFD86FC" w:rsidR="00576A87" w:rsidRPr="00DA73DB" w:rsidRDefault="00FC51A4" w:rsidP="00A85333">
      <w:pPr>
        <w:jc w:val="center"/>
        <w:rPr>
          <w:rFonts w:ascii="Palatino Linotype" w:hAnsi="Palatino Linotype"/>
          <w:b/>
          <w:sz w:val="24"/>
          <w:szCs w:val="24"/>
        </w:rPr>
      </w:pPr>
      <w:r w:rsidRPr="00DA73DB">
        <w:rPr>
          <w:rFonts w:ascii="Palatino Linotype" w:hAnsi="Palatino Linotype"/>
          <w:b/>
          <w:bCs/>
          <w:sz w:val="24"/>
          <w:szCs w:val="24"/>
        </w:rPr>
        <w:t xml:space="preserve">TINJAUAN YURIDIS PENERBITAN </w:t>
      </w:r>
      <w:r w:rsidRPr="00DA73DB">
        <w:rPr>
          <w:rFonts w:ascii="Palatino Linotype" w:hAnsi="Palatino Linotype"/>
          <w:b/>
          <w:bCs/>
          <w:i/>
          <w:iCs/>
          <w:sz w:val="24"/>
          <w:szCs w:val="24"/>
        </w:rPr>
        <w:t>GREEN</w:t>
      </w:r>
      <w:r w:rsidRPr="00DA73DB">
        <w:rPr>
          <w:rFonts w:ascii="Palatino Linotype" w:hAnsi="Palatino Linotype"/>
          <w:b/>
          <w:bCs/>
          <w:sz w:val="24"/>
          <w:szCs w:val="24"/>
        </w:rPr>
        <w:t xml:space="preserve"> SUKUK DAERAH MELALUI MEKANISME </w:t>
      </w:r>
      <w:r w:rsidRPr="00DA73DB">
        <w:rPr>
          <w:rFonts w:ascii="Palatino Linotype" w:hAnsi="Palatino Linotype"/>
          <w:b/>
          <w:bCs/>
          <w:i/>
          <w:iCs/>
          <w:sz w:val="24"/>
          <w:szCs w:val="24"/>
        </w:rPr>
        <w:t>PRIVATE</w:t>
      </w:r>
      <w:r w:rsidRPr="00DA73DB">
        <w:rPr>
          <w:rFonts w:ascii="Palatino Linotype" w:hAnsi="Palatino Linotype"/>
          <w:b/>
          <w:bCs/>
          <w:sz w:val="24"/>
          <w:szCs w:val="24"/>
        </w:rPr>
        <w:t xml:space="preserve"> </w:t>
      </w:r>
      <w:r w:rsidRPr="00DA73DB">
        <w:rPr>
          <w:rFonts w:ascii="Palatino Linotype" w:hAnsi="Palatino Linotype"/>
          <w:b/>
          <w:bCs/>
          <w:i/>
          <w:iCs/>
          <w:sz w:val="24"/>
          <w:szCs w:val="24"/>
        </w:rPr>
        <w:t>PLACEMENT</w:t>
      </w:r>
    </w:p>
    <w:p w14:paraId="411A52AD" w14:textId="59AF2CE8" w:rsidR="00A85333" w:rsidRDefault="00A954B2" w:rsidP="00A85333">
      <w:pPr>
        <w:jc w:val="center"/>
        <w:rPr>
          <w:rFonts w:ascii="Palatino Linotype" w:hAnsi="Palatino Linotype"/>
          <w:b/>
          <w:sz w:val="24"/>
          <w:szCs w:val="24"/>
        </w:rPr>
      </w:pPr>
      <w:r w:rsidRPr="00DA73DB">
        <w:rPr>
          <w:rFonts w:ascii="Palatino Linotype" w:hAnsi="Palatino Linotype"/>
          <w:b/>
          <w:sz w:val="24"/>
          <w:szCs w:val="24"/>
        </w:rPr>
        <w:t xml:space="preserve">Davin </w:t>
      </w:r>
      <w:r w:rsidR="009A7034" w:rsidRPr="00DA73DB">
        <w:rPr>
          <w:rFonts w:ascii="Palatino Linotype" w:hAnsi="Palatino Linotype"/>
          <w:b/>
          <w:sz w:val="24"/>
          <w:szCs w:val="24"/>
        </w:rPr>
        <w:t>Timothy Haposan Sihite</w:t>
      </w:r>
    </w:p>
    <w:p w14:paraId="7C0D90AB" w14:textId="47DB0B19" w:rsidR="00FC6561" w:rsidRPr="00FC6561" w:rsidRDefault="00FC6561" w:rsidP="00FC6561">
      <w:pPr>
        <w:jc w:val="center"/>
        <w:rPr>
          <w:rFonts w:ascii="Palatino Linotype" w:hAnsi="Palatino Linotype"/>
          <w:b/>
          <w:bCs/>
          <w:sz w:val="24"/>
          <w:szCs w:val="24"/>
        </w:rPr>
      </w:pPr>
      <w:r w:rsidRPr="00FC6561">
        <w:rPr>
          <w:rFonts w:ascii="Palatino Linotype" w:hAnsi="Palatino Linotype"/>
          <w:b/>
          <w:bCs/>
          <w:sz w:val="24"/>
          <w:szCs w:val="24"/>
        </w:rPr>
        <w:t xml:space="preserve">Universitas Padjadjaran </w:t>
      </w:r>
      <w:r>
        <w:rPr>
          <w:rFonts w:ascii="Palatino Linotype" w:hAnsi="Palatino Linotype"/>
          <w:b/>
          <w:bCs/>
          <w:sz w:val="24"/>
          <w:szCs w:val="24"/>
        </w:rPr>
        <w:t xml:space="preserve"> </w:t>
      </w:r>
    </w:p>
    <w:p w14:paraId="60B08CE7" w14:textId="3250E477" w:rsidR="00FC6561" w:rsidRPr="00DA73DB" w:rsidRDefault="00FC6561" w:rsidP="00FC6561">
      <w:pPr>
        <w:jc w:val="center"/>
        <w:rPr>
          <w:rFonts w:ascii="Palatino Linotype" w:hAnsi="Palatino Linotype"/>
          <w:b/>
          <w:bCs/>
          <w:sz w:val="24"/>
          <w:szCs w:val="24"/>
        </w:rPr>
      </w:pPr>
      <w:r w:rsidRPr="00FC6561">
        <w:rPr>
          <w:rFonts w:ascii="Palatino Linotype" w:hAnsi="Palatino Linotype"/>
          <w:b/>
          <w:bCs/>
          <w:sz w:val="24"/>
          <w:szCs w:val="24"/>
        </w:rPr>
        <w:t xml:space="preserve">email: </w:t>
      </w:r>
      <w:hyperlink r:id="rId8" w:history="1">
        <w:r w:rsidRPr="004B6A5D">
          <w:rPr>
            <w:rStyle w:val="Hyperlink"/>
            <w:rFonts w:ascii="Palatino Linotype" w:hAnsi="Palatino Linotype"/>
            <w:b/>
            <w:bCs/>
            <w:sz w:val="24"/>
            <w:szCs w:val="24"/>
          </w:rPr>
          <w:t>davin21001@mail.unpad.ac.id</w:t>
        </w:r>
      </w:hyperlink>
      <w:r>
        <w:rPr>
          <w:rFonts w:ascii="Palatino Linotype" w:hAnsi="Palatino Linotype"/>
          <w:b/>
          <w:bCs/>
          <w:sz w:val="24"/>
          <w:szCs w:val="24"/>
        </w:rPr>
        <w:t xml:space="preserve"> </w:t>
      </w:r>
    </w:p>
    <w:tbl>
      <w:tblPr>
        <w:tblW w:w="91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27"/>
        <w:gridCol w:w="2923"/>
      </w:tblGrid>
      <w:tr w:rsidR="00DA73DB" w:rsidRPr="00DA73DB" w14:paraId="5421C80F" w14:textId="77777777" w:rsidTr="00FC567B">
        <w:trPr>
          <w:jc w:val="center"/>
        </w:trPr>
        <w:tc>
          <w:tcPr>
            <w:tcW w:w="6227" w:type="dxa"/>
            <w:tcMar>
              <w:top w:w="100" w:type="dxa"/>
              <w:left w:w="100" w:type="dxa"/>
              <w:bottom w:w="100" w:type="dxa"/>
              <w:right w:w="100" w:type="dxa"/>
            </w:tcMar>
          </w:tcPr>
          <w:p w14:paraId="5516A77F" w14:textId="77777777" w:rsidR="00DA73DB" w:rsidRPr="00DA73DB" w:rsidRDefault="00DA73DB" w:rsidP="00DA73DB">
            <w:pPr>
              <w:spacing w:after="120" w:line="240" w:lineRule="auto"/>
              <w:jc w:val="center"/>
              <w:rPr>
                <w:rFonts w:ascii="Palatino Linotype" w:hAnsi="Palatino Linotype"/>
              </w:rPr>
            </w:pPr>
            <w:r w:rsidRPr="00DA73DB">
              <w:rPr>
                <w:rFonts w:ascii="Palatino Linotype" w:hAnsi="Palatino Linotype"/>
                <w:b/>
                <w:bCs/>
              </w:rPr>
              <w:t>Abstrak</w:t>
            </w:r>
          </w:p>
          <w:p w14:paraId="61248A34" w14:textId="77777777" w:rsidR="00DA73DB" w:rsidRPr="00DA73DB" w:rsidRDefault="00DA73DB" w:rsidP="00DA73DB">
            <w:pPr>
              <w:spacing w:after="0" w:line="240" w:lineRule="auto"/>
              <w:jc w:val="both"/>
              <w:rPr>
                <w:rFonts w:ascii="Palatino Linotype" w:hAnsi="Palatino Linotype"/>
                <w:bCs/>
                <w:lang w:val="en-US"/>
              </w:rPr>
            </w:pPr>
            <w:r w:rsidRPr="00DA73DB">
              <w:rPr>
                <w:rFonts w:ascii="Palatino Linotype" w:hAnsi="Palatino Linotype"/>
                <w:bCs/>
                <w:lang w:val="en-US"/>
              </w:rPr>
              <w:t xml:space="preserve">Artikel ini membahas kerangka hukum penerbitan sukuk daerah di Indonesia sebagai alternatif pendanaan yang </w:t>
            </w:r>
            <w:r w:rsidRPr="00DA73DB">
              <w:rPr>
                <w:rFonts w:ascii="Palatino Linotype" w:hAnsi="Palatino Linotype"/>
              </w:rPr>
              <w:t>strategis</w:t>
            </w:r>
            <w:r w:rsidRPr="00DA73DB">
              <w:rPr>
                <w:rFonts w:ascii="Palatino Linotype" w:hAnsi="Palatino Linotype"/>
                <w:bCs/>
                <w:lang w:val="en-US"/>
              </w:rPr>
              <w:t xml:space="preserve"> bagi pemerintah daerah dan membahas apakah penerbitan green sukuk dapat dilakukan melalui mekanisme </w:t>
            </w:r>
            <w:r w:rsidRPr="00DA73DB">
              <w:rPr>
                <w:rFonts w:ascii="Palatino Linotype" w:hAnsi="Palatino Linotype"/>
                <w:bCs/>
                <w:i/>
                <w:iCs/>
                <w:lang w:val="en-US"/>
              </w:rPr>
              <w:t>private placement</w:t>
            </w:r>
            <w:r w:rsidRPr="00DA73DB">
              <w:rPr>
                <w:rFonts w:ascii="Palatino Linotype" w:hAnsi="Palatino Linotype"/>
                <w:bCs/>
                <w:lang w:val="en-US"/>
              </w:rPr>
              <w:t>. Penerbitan sukuk daerah bertujuan untuk mengurangi ketergantungan pada Anggaran Pendapatan dan Belanja Daerah (“</w:t>
            </w:r>
            <w:r w:rsidRPr="00DA73DB">
              <w:rPr>
                <w:rFonts w:ascii="Palatino Linotype" w:hAnsi="Palatino Linotype"/>
                <w:b/>
                <w:lang w:val="en-US"/>
              </w:rPr>
              <w:t>APBD</w:t>
            </w:r>
            <w:r w:rsidRPr="00DA73DB">
              <w:rPr>
                <w:rFonts w:ascii="Palatino Linotype" w:hAnsi="Palatino Linotype"/>
                <w:bCs/>
                <w:lang w:val="en-US"/>
              </w:rPr>
              <w:t xml:space="preserve">”) yang terbatas, sukuk daerah memberikan peluang bagi masyarakat lokal untuk berpartisipasi dalam pembiayaan pembangunan infrastruktur. Artikel ini juga mengeksplorasi konsep </w:t>
            </w:r>
            <w:r w:rsidRPr="00DA73DB">
              <w:rPr>
                <w:rFonts w:ascii="Palatino Linotype" w:hAnsi="Palatino Linotype"/>
                <w:bCs/>
                <w:i/>
                <w:iCs/>
                <w:lang w:val="en-US"/>
              </w:rPr>
              <w:t>green</w:t>
            </w:r>
            <w:r w:rsidRPr="00DA73DB">
              <w:rPr>
                <w:rFonts w:ascii="Palatino Linotype" w:hAnsi="Palatino Linotype"/>
                <w:bCs/>
                <w:lang w:val="en-US"/>
              </w:rPr>
              <w:t xml:space="preserve"> sukuk, yang dirancang khusus untuk mendukung proyek-proyek ramah lingkungan dan menekankan pada pembiayaan proyek yang berorientasi pada keberlanjutan dan energi terbarukan. Dengan acuan pada standar internasional, terutama prinsip </w:t>
            </w:r>
            <w:r w:rsidRPr="00DA73DB">
              <w:rPr>
                <w:rFonts w:ascii="Palatino Linotype" w:hAnsi="Palatino Linotype"/>
                <w:bCs/>
                <w:i/>
                <w:iCs/>
                <w:lang w:val="en-US"/>
              </w:rPr>
              <w:t>Green</w:t>
            </w:r>
            <w:r w:rsidRPr="00DA73DB">
              <w:rPr>
                <w:rFonts w:ascii="Palatino Linotype" w:hAnsi="Palatino Linotype"/>
                <w:bCs/>
                <w:lang w:val="en-US"/>
              </w:rPr>
              <w:t xml:space="preserve"> </w:t>
            </w:r>
            <w:r w:rsidRPr="00DA73DB">
              <w:rPr>
                <w:rFonts w:ascii="Palatino Linotype" w:hAnsi="Palatino Linotype"/>
                <w:bCs/>
                <w:i/>
                <w:iCs/>
                <w:lang w:val="en-US"/>
              </w:rPr>
              <w:t>Sukuk</w:t>
            </w:r>
            <w:r w:rsidRPr="00DA73DB">
              <w:rPr>
                <w:rFonts w:ascii="Palatino Linotype" w:hAnsi="Palatino Linotype"/>
                <w:bCs/>
                <w:lang w:val="en-US"/>
              </w:rPr>
              <w:t xml:space="preserve"> dari The International Capital Market Association (“</w:t>
            </w:r>
            <w:r w:rsidRPr="00DA73DB">
              <w:rPr>
                <w:rFonts w:ascii="Palatino Linotype" w:hAnsi="Palatino Linotype"/>
                <w:b/>
                <w:lang w:val="en-US"/>
              </w:rPr>
              <w:t>ICMA</w:t>
            </w:r>
            <w:r w:rsidRPr="00DA73DB">
              <w:rPr>
                <w:rFonts w:ascii="Palatino Linotype" w:hAnsi="Palatino Linotype"/>
                <w:bCs/>
                <w:lang w:val="en-US"/>
              </w:rPr>
              <w:t>”).</w:t>
            </w:r>
          </w:p>
          <w:p w14:paraId="22F37745" w14:textId="3A0C8290" w:rsidR="00DA73DB" w:rsidRPr="00DA73DB" w:rsidRDefault="00DA73DB" w:rsidP="00DA73DB">
            <w:pPr>
              <w:spacing w:before="240"/>
              <w:jc w:val="both"/>
              <w:rPr>
                <w:rFonts w:ascii="Palatino Linotype" w:hAnsi="Palatino Linotype"/>
                <w:bCs/>
              </w:rPr>
            </w:pPr>
            <w:r w:rsidRPr="00DA73DB">
              <w:rPr>
                <w:rFonts w:ascii="Palatino Linotype" w:hAnsi="Palatino Linotype"/>
                <w:b/>
                <w:lang w:val="en-US"/>
              </w:rPr>
              <w:t>Kata Kunci</w:t>
            </w:r>
            <w:r w:rsidRPr="00DA73DB">
              <w:rPr>
                <w:rFonts w:ascii="Palatino Linotype" w:hAnsi="Palatino Linotype"/>
                <w:bCs/>
                <w:lang w:val="en-US"/>
              </w:rPr>
              <w:t xml:space="preserve">: </w:t>
            </w:r>
            <w:r w:rsidRPr="00DA73DB">
              <w:rPr>
                <w:rFonts w:ascii="Palatino Linotype" w:hAnsi="Palatino Linotype"/>
                <w:bCs/>
                <w:i/>
                <w:iCs/>
                <w:lang w:val="en-US"/>
              </w:rPr>
              <w:t>sukuk daerah, green sukuk, private placement</w:t>
            </w:r>
            <w:r w:rsidRPr="00DA73DB">
              <w:rPr>
                <w:rFonts w:ascii="Palatino Linotype" w:hAnsi="Palatino Linotype"/>
                <w:bCs/>
                <w:lang w:val="en-US"/>
              </w:rPr>
              <w:t>.</w:t>
            </w:r>
          </w:p>
        </w:tc>
        <w:tc>
          <w:tcPr>
            <w:tcW w:w="2923" w:type="dxa"/>
            <w:tcMar>
              <w:top w:w="100" w:type="dxa"/>
              <w:left w:w="100" w:type="dxa"/>
              <w:bottom w:w="100" w:type="dxa"/>
              <w:right w:w="100" w:type="dxa"/>
            </w:tcMar>
          </w:tcPr>
          <w:p w14:paraId="713364DC" w14:textId="77777777" w:rsidR="00DA73DB" w:rsidRPr="00DA73DB" w:rsidRDefault="00DA73DB" w:rsidP="00FC567B">
            <w:pPr>
              <w:widowControl w:val="0"/>
              <w:pBdr>
                <w:top w:val="nil"/>
                <w:left w:val="nil"/>
                <w:bottom w:val="nil"/>
                <w:right w:val="nil"/>
                <w:between w:val="nil"/>
              </w:pBdr>
              <w:spacing w:after="0" w:line="360" w:lineRule="auto"/>
              <w:rPr>
                <w:rFonts w:ascii="Palatino Linotype" w:eastAsia="Trebuchet MS" w:hAnsi="Palatino Linotype" w:cs="Trebuchet MS"/>
                <w:b/>
                <w:sz w:val="20"/>
                <w:szCs w:val="20"/>
              </w:rPr>
            </w:pPr>
            <w:r w:rsidRPr="00DA73DB">
              <w:rPr>
                <w:rFonts w:ascii="Palatino Linotype" w:eastAsia="Trebuchet MS" w:hAnsi="Palatino Linotype" w:cs="Trebuchet MS"/>
                <w:b/>
                <w:sz w:val="20"/>
                <w:szCs w:val="20"/>
              </w:rPr>
              <w:t>Article History</w:t>
            </w:r>
          </w:p>
          <w:p w14:paraId="5BB1411C" w14:textId="77777777" w:rsidR="00DA73DB" w:rsidRPr="00DA73DB" w:rsidRDefault="00DA73DB" w:rsidP="00DA73DB">
            <w:pPr>
              <w:spacing w:after="0" w:line="276" w:lineRule="auto"/>
              <w:ind w:right="319"/>
              <w:jc w:val="both"/>
              <w:rPr>
                <w:rFonts w:ascii="Palatino Linotype" w:eastAsia="Trebuchet MS" w:hAnsi="Palatino Linotype" w:cs="Trebuchet MS"/>
                <w:sz w:val="20"/>
                <w:szCs w:val="20"/>
              </w:rPr>
            </w:pPr>
            <w:r w:rsidRPr="00DA73DB">
              <w:rPr>
                <w:rFonts w:ascii="Palatino Linotype" w:eastAsia="Trebuchet MS" w:hAnsi="Palatino Linotype" w:cs="Trebuchet MS"/>
                <w:sz w:val="20"/>
                <w:szCs w:val="20"/>
              </w:rPr>
              <w:t>Received:    September 2025</w:t>
            </w:r>
          </w:p>
          <w:p w14:paraId="3A1BAC4F" w14:textId="77777777" w:rsidR="00DA73DB" w:rsidRPr="00DA73DB" w:rsidRDefault="00DA73DB" w:rsidP="00DA73DB">
            <w:pPr>
              <w:spacing w:after="0" w:line="276" w:lineRule="auto"/>
              <w:ind w:right="319"/>
              <w:jc w:val="both"/>
              <w:rPr>
                <w:rFonts w:ascii="Palatino Linotype" w:eastAsia="Trebuchet MS" w:hAnsi="Palatino Linotype" w:cs="Trebuchet MS"/>
                <w:sz w:val="20"/>
                <w:szCs w:val="20"/>
              </w:rPr>
            </w:pPr>
            <w:r w:rsidRPr="00DA73DB">
              <w:rPr>
                <w:rFonts w:ascii="Palatino Linotype" w:eastAsia="Trebuchet MS" w:hAnsi="Palatino Linotype" w:cs="Trebuchet MS"/>
                <w:sz w:val="20"/>
                <w:szCs w:val="20"/>
              </w:rPr>
              <w:t>Reviewed:  September 2025</w:t>
            </w:r>
          </w:p>
          <w:p w14:paraId="52AE2412" w14:textId="77777777" w:rsidR="00DA73DB" w:rsidRPr="00DA73DB" w:rsidRDefault="00DA73DB" w:rsidP="00DA73DB">
            <w:pPr>
              <w:tabs>
                <w:tab w:val="left" w:pos="2309"/>
              </w:tabs>
              <w:spacing w:after="0" w:line="276" w:lineRule="auto"/>
              <w:ind w:right="319"/>
              <w:jc w:val="both"/>
              <w:rPr>
                <w:rFonts w:ascii="Palatino Linotype" w:eastAsia="Trebuchet MS" w:hAnsi="Palatino Linotype" w:cs="Trebuchet MS"/>
                <w:sz w:val="20"/>
                <w:szCs w:val="20"/>
              </w:rPr>
            </w:pPr>
            <w:r w:rsidRPr="00DA73DB">
              <w:rPr>
                <w:rFonts w:ascii="Palatino Linotype" w:eastAsia="Trebuchet MS" w:hAnsi="Palatino Linotype" w:cs="Trebuchet MS"/>
                <w:sz w:val="20"/>
                <w:szCs w:val="20"/>
              </w:rPr>
              <w:t>Published:  September 2025</w:t>
            </w:r>
          </w:p>
          <w:p w14:paraId="7DAAAA6A" w14:textId="77777777" w:rsidR="00DA73DB" w:rsidRPr="00DA73DB" w:rsidRDefault="00DA73DB" w:rsidP="00DA73DB">
            <w:pPr>
              <w:spacing w:after="0" w:line="276" w:lineRule="auto"/>
              <w:ind w:right="31"/>
              <w:rPr>
                <w:rFonts w:ascii="Palatino Linotype" w:eastAsia="Palatino Linotype" w:hAnsi="Palatino Linotype"/>
                <w:sz w:val="20"/>
                <w:szCs w:val="20"/>
              </w:rPr>
            </w:pPr>
            <w:r w:rsidRPr="00DA73DB">
              <w:rPr>
                <w:rFonts w:ascii="Palatino Linotype" w:eastAsia="Palatino Linotype" w:hAnsi="Palatino Linotype"/>
                <w:sz w:val="20"/>
                <w:szCs w:val="20"/>
              </w:rPr>
              <w:t>Plagiarism Checker No 234</w:t>
            </w:r>
          </w:p>
          <w:p w14:paraId="1758A995" w14:textId="77777777" w:rsidR="00DA73DB" w:rsidRPr="00DA73DB" w:rsidRDefault="00DA73DB" w:rsidP="00DA73DB">
            <w:pPr>
              <w:widowControl w:val="0"/>
              <w:pBdr>
                <w:top w:val="nil"/>
                <w:left w:val="nil"/>
                <w:bottom w:val="nil"/>
                <w:right w:val="nil"/>
                <w:between w:val="nil"/>
              </w:pBdr>
              <w:spacing w:after="0" w:line="276" w:lineRule="auto"/>
              <w:rPr>
                <w:rFonts w:ascii="Palatino Linotype" w:eastAsia="Trebuchet MS" w:hAnsi="Palatino Linotype" w:cs="Trebuchet MS"/>
                <w:sz w:val="20"/>
                <w:szCs w:val="20"/>
              </w:rPr>
            </w:pPr>
          </w:p>
          <w:p w14:paraId="3F6E8362" w14:textId="77777777" w:rsidR="00DA73DB" w:rsidRPr="00DA73DB" w:rsidRDefault="00DA73DB" w:rsidP="00DA73DB">
            <w:pPr>
              <w:widowControl w:val="0"/>
              <w:pBdr>
                <w:top w:val="nil"/>
                <w:left w:val="nil"/>
                <w:bottom w:val="nil"/>
                <w:right w:val="nil"/>
                <w:between w:val="nil"/>
              </w:pBdr>
              <w:spacing w:after="0" w:line="276" w:lineRule="auto"/>
              <w:rPr>
                <w:rFonts w:ascii="Palatino Linotype" w:eastAsia="Trebuchet MS" w:hAnsi="Palatino Linotype" w:cs="Trebuchet MS"/>
                <w:b/>
                <w:sz w:val="20"/>
                <w:szCs w:val="20"/>
              </w:rPr>
            </w:pPr>
            <w:r w:rsidRPr="00DA73DB">
              <w:rPr>
                <w:rFonts w:ascii="Palatino Linotype" w:eastAsia="Trebuchet MS" w:hAnsi="Palatino Linotype" w:cs="Trebuchet MS"/>
                <w:b/>
                <w:sz w:val="20"/>
                <w:szCs w:val="20"/>
              </w:rPr>
              <w:t>Copyright : Author</w:t>
            </w:r>
          </w:p>
          <w:p w14:paraId="0DB320AB" w14:textId="77777777" w:rsidR="00DA73DB" w:rsidRPr="00DA73DB" w:rsidRDefault="00DA73DB" w:rsidP="00DA73DB">
            <w:pPr>
              <w:widowControl w:val="0"/>
              <w:pBdr>
                <w:top w:val="nil"/>
                <w:left w:val="nil"/>
                <w:bottom w:val="nil"/>
                <w:right w:val="nil"/>
                <w:between w:val="nil"/>
              </w:pBdr>
              <w:spacing w:after="0" w:line="276" w:lineRule="auto"/>
              <w:rPr>
                <w:rFonts w:ascii="Palatino Linotype" w:eastAsia="Trebuchet MS" w:hAnsi="Palatino Linotype" w:cs="Trebuchet MS"/>
                <w:b/>
                <w:sz w:val="20"/>
                <w:szCs w:val="20"/>
              </w:rPr>
            </w:pPr>
            <w:r w:rsidRPr="00DA73DB">
              <w:rPr>
                <w:rFonts w:ascii="Palatino Linotype" w:eastAsia="Trebuchet MS" w:hAnsi="Palatino Linotype" w:cs="Trebuchet MS"/>
                <w:b/>
                <w:sz w:val="20"/>
                <w:szCs w:val="20"/>
              </w:rPr>
              <w:t>Publish by : CAUSA</w:t>
            </w:r>
          </w:p>
          <w:p w14:paraId="2BF90056" w14:textId="77777777" w:rsidR="00DA73DB" w:rsidRPr="00DA73DB" w:rsidRDefault="00DA73DB" w:rsidP="00DA73DB">
            <w:pPr>
              <w:widowControl w:val="0"/>
              <w:pBdr>
                <w:top w:val="nil"/>
                <w:left w:val="nil"/>
                <w:bottom w:val="nil"/>
                <w:right w:val="nil"/>
                <w:between w:val="nil"/>
              </w:pBdr>
              <w:spacing w:after="0" w:line="276" w:lineRule="auto"/>
              <w:rPr>
                <w:rFonts w:ascii="Palatino Linotype" w:eastAsia="Trebuchet MS" w:hAnsi="Palatino Linotype" w:cs="Trebuchet MS"/>
                <w:b/>
                <w:sz w:val="20"/>
                <w:szCs w:val="20"/>
              </w:rPr>
            </w:pPr>
          </w:p>
          <w:p w14:paraId="0A8EB046" w14:textId="77777777" w:rsidR="00DA73DB" w:rsidRPr="00DA73DB" w:rsidRDefault="00DA73DB" w:rsidP="00DA73DB">
            <w:pPr>
              <w:widowControl w:val="0"/>
              <w:pBdr>
                <w:top w:val="nil"/>
                <w:left w:val="nil"/>
                <w:bottom w:val="nil"/>
                <w:right w:val="nil"/>
                <w:between w:val="nil"/>
              </w:pBdr>
              <w:spacing w:after="0" w:line="276" w:lineRule="auto"/>
              <w:rPr>
                <w:rFonts w:ascii="Palatino Linotype" w:eastAsia="Trebuchet MS" w:hAnsi="Palatino Linotype" w:cs="Trebuchet MS"/>
                <w:b/>
                <w:sz w:val="20"/>
                <w:szCs w:val="20"/>
              </w:rPr>
            </w:pPr>
            <w:r w:rsidRPr="00DA73DB">
              <w:rPr>
                <w:rFonts w:ascii="Palatino Linotype" w:eastAsia="Trebuchet MS" w:hAnsi="Palatino Linotype" w:cs="Trebuchet MS"/>
                <w:b/>
                <w:noProof/>
                <w:sz w:val="20"/>
                <w:szCs w:val="20"/>
              </w:rPr>
              <w:drawing>
                <wp:inline distT="114300" distB="114300" distL="114300" distR="114300" wp14:anchorId="2F04C257" wp14:editId="64A043BE">
                  <wp:extent cx="976313" cy="347811"/>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76313" cy="347811"/>
                          </a:xfrm>
                          <a:prstGeom prst="rect">
                            <a:avLst/>
                          </a:prstGeom>
                          <a:ln/>
                        </pic:spPr>
                      </pic:pic>
                    </a:graphicData>
                  </a:graphic>
                </wp:inline>
              </w:drawing>
            </w:r>
          </w:p>
          <w:p w14:paraId="1F0D166B" w14:textId="77777777" w:rsidR="00DA73DB" w:rsidRPr="00DA73DB" w:rsidRDefault="00DA73DB" w:rsidP="00DA73DB">
            <w:pPr>
              <w:widowControl w:val="0"/>
              <w:pBdr>
                <w:top w:val="nil"/>
                <w:left w:val="nil"/>
                <w:bottom w:val="nil"/>
                <w:right w:val="nil"/>
                <w:between w:val="nil"/>
              </w:pBdr>
              <w:spacing w:after="0" w:line="276" w:lineRule="auto"/>
              <w:jc w:val="both"/>
              <w:rPr>
                <w:rFonts w:ascii="Palatino Linotype" w:eastAsia="Trebuchet MS" w:hAnsi="Palatino Linotype" w:cs="Trebuchet MS"/>
                <w:b/>
                <w:sz w:val="20"/>
                <w:szCs w:val="20"/>
              </w:rPr>
            </w:pPr>
            <w:r w:rsidRPr="00DA73DB">
              <w:rPr>
                <w:rFonts w:ascii="Palatino Linotype" w:eastAsia="Trebuchet MS" w:hAnsi="Palatino Linotype" w:cs="Trebuchet MS"/>
                <w:b/>
                <w:color w:val="555555"/>
                <w:sz w:val="20"/>
                <w:szCs w:val="20"/>
                <w:highlight w:val="white"/>
              </w:rPr>
              <w:t xml:space="preserve">This work is licensed under a </w:t>
            </w:r>
            <w:hyperlink r:id="rId10">
              <w:r w:rsidRPr="00DA73DB">
                <w:rPr>
                  <w:rFonts w:ascii="Palatino Linotype" w:eastAsia="Trebuchet MS" w:hAnsi="Palatino Linotype" w:cs="Trebuchet MS"/>
                  <w:b/>
                  <w:color w:val="2FA4E7"/>
                  <w:sz w:val="20"/>
                  <w:szCs w:val="20"/>
                  <w:u w:val="single"/>
                </w:rPr>
                <w:t>Creative Commons Attribution-NonCommercial 4.0 International License</w:t>
              </w:r>
            </w:hyperlink>
            <w:r w:rsidRPr="00DA73DB">
              <w:rPr>
                <w:rFonts w:ascii="Palatino Linotype" w:eastAsia="Trebuchet MS" w:hAnsi="Palatino Linotype" w:cs="Trebuchet MS"/>
                <w:b/>
                <w:color w:val="555555"/>
                <w:sz w:val="20"/>
                <w:szCs w:val="20"/>
                <w:highlight w:val="white"/>
              </w:rPr>
              <w:t>.</w:t>
            </w:r>
          </w:p>
        </w:tc>
      </w:tr>
    </w:tbl>
    <w:p w14:paraId="14767FC8" w14:textId="77777777" w:rsidR="00DA73DB" w:rsidRPr="00DA73DB" w:rsidRDefault="00DA73DB" w:rsidP="00A85333">
      <w:pPr>
        <w:jc w:val="center"/>
        <w:rPr>
          <w:rFonts w:ascii="Palatino Linotype" w:hAnsi="Palatino Linotype"/>
          <w:b/>
          <w:bCs/>
          <w:sz w:val="24"/>
          <w:szCs w:val="24"/>
        </w:rPr>
      </w:pPr>
    </w:p>
    <w:p w14:paraId="50BC02C9" w14:textId="62A13ADC" w:rsidR="00FC0839" w:rsidRPr="00DA73DB" w:rsidRDefault="00A85333" w:rsidP="005F7A11">
      <w:pPr>
        <w:numPr>
          <w:ilvl w:val="0"/>
          <w:numId w:val="11"/>
        </w:numPr>
        <w:spacing w:before="240" w:after="0" w:line="240" w:lineRule="auto"/>
        <w:ind w:left="340"/>
        <w:jc w:val="both"/>
        <w:rPr>
          <w:rFonts w:ascii="Palatino Linotype" w:hAnsi="Palatino Linotype"/>
          <w:b/>
        </w:rPr>
      </w:pPr>
      <w:r w:rsidRPr="00DA73DB">
        <w:rPr>
          <w:rFonts w:ascii="Palatino Linotype" w:eastAsia="Calibri" w:hAnsi="Palatino Linotype" w:cs="Calibri"/>
          <w:b/>
          <w:kern w:val="0"/>
          <w:lang w:val="en-GB" w:eastAsia="en-ID"/>
          <w14:ligatures w14:val="none"/>
        </w:rPr>
        <w:t>Latar</w:t>
      </w:r>
      <w:r w:rsidRPr="00DA73DB">
        <w:rPr>
          <w:rFonts w:ascii="Palatino Linotype" w:hAnsi="Palatino Linotype"/>
          <w:b/>
        </w:rPr>
        <w:t xml:space="preserve"> </w:t>
      </w:r>
      <w:r w:rsidRPr="00DA73DB">
        <w:rPr>
          <w:rFonts w:ascii="Palatino Linotype" w:eastAsia="Calibri" w:hAnsi="Palatino Linotype" w:cs="Calibri"/>
          <w:b/>
          <w:kern w:val="0"/>
          <w:lang w:val="en-GB" w:eastAsia="en-ID"/>
          <w14:ligatures w14:val="none"/>
        </w:rPr>
        <w:t>belakan</w:t>
      </w:r>
      <w:r w:rsidR="001C777B" w:rsidRPr="00DA73DB">
        <w:rPr>
          <w:rFonts w:ascii="Palatino Linotype" w:eastAsia="Calibri" w:hAnsi="Palatino Linotype" w:cs="Calibri"/>
          <w:b/>
          <w:kern w:val="0"/>
          <w:lang w:val="en-GB" w:eastAsia="en-ID"/>
          <w14:ligatures w14:val="none"/>
        </w:rPr>
        <w:t>g</w:t>
      </w:r>
    </w:p>
    <w:p w14:paraId="20F4B35B" w14:textId="2C2F3864" w:rsidR="008E7532" w:rsidRPr="00DA73DB" w:rsidRDefault="008E7532" w:rsidP="00E47550">
      <w:pPr>
        <w:spacing w:after="0" w:line="240" w:lineRule="auto"/>
        <w:ind w:firstLine="340"/>
        <w:jc w:val="both"/>
        <w:rPr>
          <w:rFonts w:ascii="Palatino Linotype" w:hAnsi="Palatino Linotype"/>
        </w:rPr>
      </w:pPr>
      <w:r w:rsidRPr="00DA73DB">
        <w:rPr>
          <w:rFonts w:ascii="Palatino Linotype" w:eastAsia="Calibri" w:hAnsi="Palatino Linotype" w:cs="Calibri"/>
          <w:kern w:val="0"/>
          <w:lang w:val="en-GB" w:eastAsia="en-ID"/>
          <w14:ligatures w14:val="none"/>
        </w:rPr>
        <w:t>Perusahaan</w:t>
      </w:r>
      <w:r w:rsidRPr="00DA73DB">
        <w:rPr>
          <w:rFonts w:ascii="Palatino Linotype" w:hAnsi="Palatino Linotype"/>
        </w:rPr>
        <w:t xml:space="preserve"> dalam menjalani kegiatan usahanya akan menghadapi kebutuhan pendanaan yang semakin meningkat seiring dengan perkembangan skala bisnis dan operasional. Pendanaan ini bertujuan untuk memungkinkan perusahaan mengembangkan kapasitasnya, memperluas jangkauan pasar, dan meningkatkan daya saingnya di berbagai sektor.</w:t>
      </w:r>
      <w:r w:rsidR="00D51F25" w:rsidRPr="00DA73DB">
        <w:rPr>
          <w:rFonts w:ascii="Palatino Linotype" w:hAnsi="Palatino Linotype"/>
        </w:rPr>
        <w:t xml:space="preserve"> </w:t>
      </w:r>
      <w:r w:rsidRPr="00DA73DB">
        <w:rPr>
          <w:rFonts w:ascii="Palatino Linotype" w:hAnsi="Palatino Linotype"/>
        </w:rPr>
        <w:t xml:space="preserve">Salah satu mekanisme pendanaan yang paling umum digunakan adalah melalui pasar modal, di mana perusahaan dapat memperoleh dana dari investor melalui berbagai instrumen keuangan. Di antara instrumen-instrumen tersebut, obligasi menjadi salah satu yang paling populer. Obligasi merupakan surat utang berjangka waktu panjang yang diterbitkan oleh pihak peminjam dengan kewajiban untuk membayar sejumlah bunga tetap yang telah disepakati kepada </w:t>
      </w:r>
      <w:r w:rsidR="00930EC6" w:rsidRPr="00DA73DB">
        <w:rPr>
          <w:rFonts w:ascii="Palatino Linotype" w:hAnsi="Palatino Linotype"/>
        </w:rPr>
        <w:t>ba</w:t>
      </w:r>
      <w:r w:rsidRPr="00DA73DB">
        <w:rPr>
          <w:rFonts w:ascii="Palatino Linotype" w:hAnsi="Palatino Linotype"/>
        </w:rPr>
        <w:t xml:space="preserve"> obligasi, serta melunasi pokok utang pada saat jatuh tempo.</w:t>
      </w:r>
      <w:r w:rsidR="006F63AA" w:rsidRPr="00DA73DB">
        <w:rPr>
          <w:rStyle w:val="FootnoteReference"/>
          <w:rFonts w:ascii="Palatino Linotype" w:hAnsi="Palatino Linotype"/>
        </w:rPr>
        <w:footnoteReference w:id="1"/>
      </w:r>
    </w:p>
    <w:p w14:paraId="74E8CCEE" w14:textId="04A847ED" w:rsidR="00A85333" w:rsidRPr="00DA73DB" w:rsidRDefault="008E7532" w:rsidP="00E47550">
      <w:pPr>
        <w:spacing w:after="0" w:line="240" w:lineRule="auto"/>
        <w:ind w:firstLine="340"/>
        <w:jc w:val="both"/>
        <w:rPr>
          <w:rFonts w:ascii="Palatino Linotype" w:hAnsi="Palatino Linotype"/>
        </w:rPr>
      </w:pPr>
      <w:r w:rsidRPr="00DA73DB">
        <w:rPr>
          <w:rFonts w:ascii="Palatino Linotype" w:hAnsi="Palatino Linotype"/>
        </w:rPr>
        <w:t>Namun, meskipun obligasi konvensional menawarkan mekanisme pendanaan yang efisien, penggunaan bunga sebagai instrumen pengembalian menimbulkan masalah bagi perusahaan atau entitas yang ingin menjalankan bisnis sesuai dengan prinsip-prinsip syariah. Hal ini dikarenakan dalam Islam, bunga dianggap sebagai riba, yang dilarang dalam hukum syariah. Oleh karena itu, diperlukan alternatif instrumen pendanaan yang sesuai dengan prinsip syariah, sehingga lahirlah sukuk, yang merupakan obligasi berbasis syariah.</w:t>
      </w:r>
      <w:r w:rsidR="00D51F25" w:rsidRPr="00DA73DB">
        <w:rPr>
          <w:rStyle w:val="FootnoteReference"/>
          <w:rFonts w:ascii="Palatino Linotype" w:hAnsi="Palatino Linotype"/>
        </w:rPr>
        <w:footnoteReference w:id="2"/>
      </w:r>
      <w:r w:rsidRPr="00DA73DB">
        <w:rPr>
          <w:rFonts w:ascii="Palatino Linotype" w:hAnsi="Palatino Linotype"/>
        </w:rPr>
        <w:t xml:space="preserve"> Sukuk tidak hanya memenuhi kebutuhan pendanaan perusahaan tetapi juga memastikan bahwa proses penggalangan dana tersebut sesuai dengan nilai-nilai syariah yang melarang riba dan transaksi yang spekulatif</w:t>
      </w:r>
      <w:r w:rsidR="00A85333" w:rsidRPr="00DA73DB">
        <w:rPr>
          <w:rFonts w:ascii="Palatino Linotype" w:hAnsi="Palatino Linotype"/>
        </w:rPr>
        <w:t>.</w:t>
      </w:r>
    </w:p>
    <w:p w14:paraId="4D9922D8" w14:textId="732A2527" w:rsidR="00A85333" w:rsidRPr="00DA73DB" w:rsidRDefault="00D27B7B" w:rsidP="00E47550">
      <w:pPr>
        <w:spacing w:after="0" w:line="240" w:lineRule="auto"/>
        <w:ind w:firstLine="340"/>
        <w:jc w:val="both"/>
        <w:rPr>
          <w:rFonts w:ascii="Palatino Linotype" w:hAnsi="Palatino Linotype"/>
        </w:rPr>
      </w:pPr>
      <w:r w:rsidRPr="00DA73DB">
        <w:rPr>
          <w:rFonts w:ascii="Palatino Linotype" w:hAnsi="Palatino Linotype"/>
        </w:rPr>
        <w:t xml:space="preserve">Menurut </w:t>
      </w:r>
      <w:r w:rsidRPr="00DA73DB">
        <w:rPr>
          <w:rFonts w:ascii="Palatino Linotype" w:hAnsi="Palatino Linotype"/>
          <w:i/>
        </w:rPr>
        <w:t>Accounting and Auditing Organization for Islamic Financial Institutions</w:t>
      </w:r>
      <w:r w:rsidRPr="00DA73DB">
        <w:rPr>
          <w:rFonts w:ascii="Palatino Linotype" w:hAnsi="Palatino Linotype"/>
        </w:rPr>
        <w:t xml:space="preserve"> (</w:t>
      </w:r>
      <w:r w:rsidR="009C170F" w:rsidRPr="00DA73DB">
        <w:rPr>
          <w:rFonts w:ascii="Palatino Linotype" w:hAnsi="Palatino Linotype"/>
        </w:rPr>
        <w:t>“</w:t>
      </w:r>
      <w:r w:rsidRPr="00DA73DB">
        <w:rPr>
          <w:rFonts w:ascii="Palatino Linotype" w:hAnsi="Palatino Linotype"/>
          <w:b/>
        </w:rPr>
        <w:t>AAOIFI</w:t>
      </w:r>
      <w:r w:rsidR="009C170F" w:rsidRPr="00DA73DB">
        <w:rPr>
          <w:rFonts w:ascii="Palatino Linotype" w:hAnsi="Palatino Linotype"/>
        </w:rPr>
        <w:t>”</w:t>
      </w:r>
      <w:r w:rsidRPr="00DA73DB">
        <w:rPr>
          <w:rFonts w:ascii="Palatino Linotype" w:hAnsi="Palatino Linotype"/>
        </w:rPr>
        <w:t>), yang merupakan organisasi internasional yang menyusun standar akuntansi, audit, dan tata kelola syariah untuk lembaga keuangan syariah</w:t>
      </w:r>
      <w:r w:rsidR="002A4A7D" w:rsidRPr="00DA73DB">
        <w:rPr>
          <w:rStyle w:val="FootnoteReference"/>
          <w:rFonts w:ascii="Palatino Linotype" w:hAnsi="Palatino Linotype"/>
        </w:rPr>
        <w:footnoteReference w:id="3"/>
      </w:r>
      <w:r w:rsidR="00D61181" w:rsidRPr="00DA73DB">
        <w:rPr>
          <w:rFonts w:ascii="Palatino Linotype" w:hAnsi="Palatino Linotype"/>
        </w:rPr>
        <w:t xml:space="preserve">, </w:t>
      </w:r>
      <w:r w:rsidR="00103DFE" w:rsidRPr="00DA73DB">
        <w:rPr>
          <w:rFonts w:ascii="Palatino Linotype" w:hAnsi="Palatino Linotype"/>
        </w:rPr>
        <w:t xml:space="preserve">sukuk didefinisikan sebagai sertifikat dengan nilai yang sama yang mewakili </w:t>
      </w:r>
      <w:r w:rsidR="00103DFE" w:rsidRPr="00DA73DB">
        <w:rPr>
          <w:rFonts w:ascii="Palatino Linotype" w:eastAsia="Calibri" w:hAnsi="Palatino Linotype" w:cs="Calibri"/>
          <w:kern w:val="0"/>
          <w:lang w:val="en-GB" w:eastAsia="en-ID"/>
          <w14:ligatures w14:val="none"/>
        </w:rPr>
        <w:t>kepemilikan</w:t>
      </w:r>
      <w:r w:rsidR="00103DFE" w:rsidRPr="00DA73DB">
        <w:rPr>
          <w:rFonts w:ascii="Palatino Linotype" w:hAnsi="Palatino Linotype"/>
        </w:rPr>
        <w:t xml:space="preserve"> tidak terbagi atas aset berwujud, hasil penggunaan, atau jasa dari suatu proyek tertentu atau kegiatan investasi yang telah ditentukan</w:t>
      </w:r>
      <w:r w:rsidR="00D61181" w:rsidRPr="00DA73DB">
        <w:rPr>
          <w:rFonts w:ascii="Palatino Linotype" w:hAnsi="Palatino Linotype"/>
        </w:rPr>
        <w:t>.</w:t>
      </w:r>
      <w:r w:rsidR="00EE28F6" w:rsidRPr="00DA73DB">
        <w:rPr>
          <w:rFonts w:ascii="Palatino Linotype" w:hAnsi="Palatino Linotype"/>
        </w:rPr>
        <w:t xml:space="preserve"> Dalam peraturan perundang-undangan Indonesia, Otoritas Jasa Keuangan</w:t>
      </w:r>
      <w:r w:rsidR="0022287F" w:rsidRPr="00DA73DB">
        <w:rPr>
          <w:rFonts w:ascii="Palatino Linotype" w:hAnsi="Palatino Linotype"/>
        </w:rPr>
        <w:t xml:space="preserve"> (“</w:t>
      </w:r>
      <w:r w:rsidR="0022287F" w:rsidRPr="00DA73DB">
        <w:rPr>
          <w:rFonts w:ascii="Palatino Linotype" w:hAnsi="Palatino Linotype"/>
          <w:b/>
        </w:rPr>
        <w:t>OJK</w:t>
      </w:r>
      <w:r w:rsidR="0022287F" w:rsidRPr="00DA73DB">
        <w:rPr>
          <w:rFonts w:ascii="Palatino Linotype" w:hAnsi="Palatino Linotype"/>
        </w:rPr>
        <w:t>”)</w:t>
      </w:r>
      <w:r w:rsidR="00EE28F6" w:rsidRPr="00DA73DB">
        <w:rPr>
          <w:rFonts w:ascii="Palatino Linotype" w:hAnsi="Palatino Linotype"/>
        </w:rPr>
        <w:t xml:space="preserve"> mendefinisikan </w:t>
      </w:r>
      <w:r w:rsidR="00645B3B" w:rsidRPr="00DA73DB">
        <w:rPr>
          <w:rFonts w:ascii="Palatino Linotype" w:hAnsi="Palatino Linotype"/>
        </w:rPr>
        <w:t>s</w:t>
      </w:r>
      <w:r w:rsidR="00EE28F6" w:rsidRPr="00DA73DB">
        <w:rPr>
          <w:rFonts w:ascii="Palatino Linotype" w:hAnsi="Palatino Linotype"/>
        </w:rPr>
        <w:t xml:space="preserve">ukuk sebagai efek syariah berupa sertifikat atau bukti kepemilikan yang bernilai sama dan mewakili bagian yang tidak terpisahkan atau tidak </w:t>
      </w:r>
      <w:r w:rsidR="00EE28F6" w:rsidRPr="00DA73DB">
        <w:rPr>
          <w:rFonts w:ascii="Palatino Linotype" w:hAnsi="Palatino Linotype"/>
        </w:rPr>
        <w:lastRenderedPageBreak/>
        <w:t>terbagi, atas aset yang mendasarinya.</w:t>
      </w:r>
      <w:r w:rsidR="00EE28F6" w:rsidRPr="00DA73DB">
        <w:rPr>
          <w:rStyle w:val="FootnoteReference"/>
          <w:rFonts w:ascii="Palatino Linotype" w:hAnsi="Palatino Linotype"/>
        </w:rPr>
        <w:footnoteReference w:id="4"/>
      </w:r>
      <w:r w:rsidR="002B3B86" w:rsidRPr="00DA73DB">
        <w:rPr>
          <w:rFonts w:ascii="Palatino Linotype" w:hAnsi="Palatino Linotype"/>
        </w:rPr>
        <w:t xml:space="preserve"> Dewan Syariah Nasional – Majelis Ulama Indonesia (“</w:t>
      </w:r>
      <w:r w:rsidR="002B3B86" w:rsidRPr="00DA73DB">
        <w:rPr>
          <w:rFonts w:ascii="Palatino Linotype" w:hAnsi="Palatino Linotype"/>
          <w:b/>
        </w:rPr>
        <w:t>DSN</w:t>
      </w:r>
      <w:r w:rsidR="002B3B86" w:rsidRPr="00DA73DB">
        <w:rPr>
          <w:rFonts w:ascii="Palatino Linotype" w:hAnsi="Palatino Linotype"/>
        </w:rPr>
        <w:t>-</w:t>
      </w:r>
      <w:r w:rsidR="002B3B86" w:rsidRPr="00DA73DB">
        <w:rPr>
          <w:rFonts w:ascii="Palatino Linotype" w:hAnsi="Palatino Linotype"/>
          <w:b/>
        </w:rPr>
        <w:t>MUI</w:t>
      </w:r>
      <w:r w:rsidR="002B3B86" w:rsidRPr="00DA73DB">
        <w:rPr>
          <w:rFonts w:ascii="Palatino Linotype" w:hAnsi="Palatino Linotype"/>
        </w:rPr>
        <w:t>”), dalam fatwanya, mend</w:t>
      </w:r>
      <w:r w:rsidR="00645B3B" w:rsidRPr="00DA73DB">
        <w:rPr>
          <w:rFonts w:ascii="Palatino Linotype" w:hAnsi="Palatino Linotype"/>
        </w:rPr>
        <w:t>e</w:t>
      </w:r>
      <w:r w:rsidR="002B3B86" w:rsidRPr="00DA73DB">
        <w:rPr>
          <w:rFonts w:ascii="Palatino Linotype" w:hAnsi="Palatino Linotype"/>
        </w:rPr>
        <w:t xml:space="preserve">finisikan Sukuk sebagai surat berharga syariah atau efek syariah yang berupa sertifikat atau bukti kepmilikan yang bernilai sama, dan mewakili </w:t>
      </w:r>
      <w:r w:rsidR="00B2107F" w:rsidRPr="00DA73DB">
        <w:rPr>
          <w:rFonts w:ascii="Palatino Linotype" w:hAnsi="Palatino Linotype"/>
        </w:rPr>
        <w:t>bagian kepemilikan yang tidak bisa ditentukan batas-batasnya atas aset yang mendasarinya setelah diterimanya dana sukuk, ditutupnya pemesanan</w:t>
      </w:r>
      <w:r w:rsidR="00ED500D" w:rsidRPr="00DA73DB">
        <w:rPr>
          <w:rFonts w:ascii="Palatino Linotype" w:hAnsi="Palatino Linotype"/>
        </w:rPr>
        <w:t>, dan dimulainya penggunaan dana sesuai peruntukannya.</w:t>
      </w:r>
      <w:r w:rsidR="00ED500D" w:rsidRPr="00DA73DB">
        <w:rPr>
          <w:rStyle w:val="FootnoteReference"/>
          <w:rFonts w:ascii="Palatino Linotype" w:hAnsi="Palatino Linotype"/>
        </w:rPr>
        <w:footnoteReference w:id="5"/>
      </w:r>
    </w:p>
    <w:p w14:paraId="20575ED5" w14:textId="08135E37" w:rsidR="00E85F1A" w:rsidRPr="00DA73DB" w:rsidRDefault="00ED15A2" w:rsidP="00E47550">
      <w:pPr>
        <w:spacing w:after="0" w:line="240" w:lineRule="auto"/>
        <w:ind w:firstLine="340"/>
        <w:jc w:val="both"/>
        <w:rPr>
          <w:rFonts w:ascii="Palatino Linotype" w:hAnsi="Palatino Linotype"/>
          <w:lang w:val="nl-NL"/>
        </w:rPr>
      </w:pPr>
      <w:r w:rsidRPr="00DA73DB">
        <w:rPr>
          <w:rFonts w:ascii="Palatino Linotype" w:hAnsi="Palatino Linotype"/>
          <w:lang w:val="nl-NL"/>
        </w:rPr>
        <w:t>Sukuk memiliki berbagai kategori yang dibedakan berdasarkan beberapa aspek. Pertama, sukuk dapat diklasifikasikan berdasarkan pihak yang menerbitkannya. Dalam hal ini, ada tiga jenis sukuk, yaitu sukuk negara (</w:t>
      </w:r>
      <w:r w:rsidRPr="00DA73DB">
        <w:rPr>
          <w:rFonts w:ascii="Palatino Linotype" w:hAnsi="Palatino Linotype"/>
          <w:i/>
          <w:lang w:val="nl-NL"/>
        </w:rPr>
        <w:t>sovereign</w:t>
      </w:r>
      <w:r w:rsidRPr="00DA73DB">
        <w:rPr>
          <w:rFonts w:ascii="Palatino Linotype" w:hAnsi="Palatino Linotype"/>
          <w:lang w:val="nl-NL"/>
        </w:rPr>
        <w:t xml:space="preserve"> </w:t>
      </w:r>
      <w:r w:rsidRPr="00DA73DB">
        <w:rPr>
          <w:rFonts w:ascii="Palatino Linotype" w:hAnsi="Palatino Linotype"/>
          <w:i/>
          <w:lang w:val="nl-NL"/>
        </w:rPr>
        <w:t>sukuk</w:t>
      </w:r>
      <w:r w:rsidRPr="00DA73DB">
        <w:rPr>
          <w:rFonts w:ascii="Palatino Linotype" w:hAnsi="Palatino Linotype"/>
          <w:lang w:val="nl-NL"/>
        </w:rPr>
        <w:t>), sukuk daerah (</w:t>
      </w:r>
      <w:r w:rsidRPr="00DA73DB">
        <w:rPr>
          <w:rFonts w:ascii="Palatino Linotype" w:hAnsi="Palatino Linotype"/>
          <w:i/>
          <w:lang w:val="nl-NL"/>
        </w:rPr>
        <w:t>municipal</w:t>
      </w:r>
      <w:r w:rsidRPr="00DA73DB">
        <w:rPr>
          <w:rFonts w:ascii="Palatino Linotype" w:hAnsi="Palatino Linotype"/>
          <w:lang w:val="nl-NL"/>
        </w:rPr>
        <w:t xml:space="preserve"> </w:t>
      </w:r>
      <w:r w:rsidRPr="00DA73DB">
        <w:rPr>
          <w:rFonts w:ascii="Palatino Linotype" w:hAnsi="Palatino Linotype"/>
          <w:i/>
          <w:lang w:val="nl-NL"/>
        </w:rPr>
        <w:t>sukuk</w:t>
      </w:r>
      <w:r w:rsidRPr="00DA73DB">
        <w:rPr>
          <w:rFonts w:ascii="Palatino Linotype" w:hAnsi="Palatino Linotype"/>
          <w:lang w:val="nl-NL"/>
        </w:rPr>
        <w:t>), dan sukuk korporasi (</w:t>
      </w:r>
      <w:r w:rsidRPr="00DA73DB">
        <w:rPr>
          <w:rFonts w:ascii="Palatino Linotype" w:hAnsi="Palatino Linotype"/>
          <w:i/>
          <w:lang w:val="nl-NL"/>
        </w:rPr>
        <w:t>corporate</w:t>
      </w:r>
      <w:r w:rsidRPr="00DA73DB">
        <w:rPr>
          <w:rFonts w:ascii="Palatino Linotype" w:hAnsi="Palatino Linotype"/>
          <w:lang w:val="nl-NL"/>
        </w:rPr>
        <w:t xml:space="preserve"> sukuk).</w:t>
      </w:r>
      <w:r w:rsidR="008C2DAB" w:rsidRPr="00DA73DB">
        <w:rPr>
          <w:rStyle w:val="FootnoteReference"/>
          <w:rFonts w:ascii="Palatino Linotype" w:hAnsi="Palatino Linotype"/>
        </w:rPr>
        <w:footnoteReference w:id="6"/>
      </w:r>
      <w:r w:rsidRPr="00DA73DB">
        <w:rPr>
          <w:rFonts w:ascii="Palatino Linotype" w:hAnsi="Palatino Linotype"/>
          <w:lang w:val="nl-NL"/>
        </w:rPr>
        <w:t xml:space="preserve"> Sukuk negara diterbitkan oleh pemerintah pusat, sedangkan sukuk daerah diterbitkan oleh pemerintah daerah, dan sukuk </w:t>
      </w:r>
      <w:r w:rsidRPr="00DA73DB">
        <w:rPr>
          <w:rFonts w:ascii="Palatino Linotype" w:eastAsia="Calibri" w:hAnsi="Palatino Linotype" w:cs="Calibri"/>
          <w:kern w:val="0"/>
          <w:lang w:val="nl-NL" w:eastAsia="en-ID"/>
          <w14:ligatures w14:val="none"/>
        </w:rPr>
        <w:t>korporasi</w:t>
      </w:r>
      <w:r w:rsidRPr="00DA73DB">
        <w:rPr>
          <w:rFonts w:ascii="Palatino Linotype" w:hAnsi="Palatino Linotype"/>
          <w:lang w:val="nl-NL"/>
        </w:rPr>
        <w:t xml:space="preserve"> diterbitkan oleh perusahaan swasta. Kedua, sukuk dapat diklasifikasikan berdasarkan jenis akad yang digunakan dalam penerbitannya. </w:t>
      </w:r>
      <w:r w:rsidR="001362AB" w:rsidRPr="00DA73DB">
        <w:rPr>
          <w:rFonts w:ascii="Palatino Linotype" w:hAnsi="Palatino Linotype"/>
          <w:lang w:val="nl-NL"/>
        </w:rPr>
        <w:t xml:space="preserve">OJK </w:t>
      </w:r>
      <w:r w:rsidRPr="00DA73DB">
        <w:rPr>
          <w:rFonts w:ascii="Palatino Linotype" w:hAnsi="Palatino Linotype"/>
          <w:lang w:val="nl-NL"/>
        </w:rPr>
        <w:t>telah mengatur bahwa terdapat lima jenis akad utama yang dapat digunakan untuk mendasari penerbitan sukuk, yaitu akad Ijarah, Istishna, Kafalah, Mudharabah, Musyarakah, dan Wakalah. Setiap akad ini memiliki karakteristik dan mekanisme yang berbeda, tergantung pada struktur transaksi dan tujuan pendanaan yang diinginkan</w:t>
      </w:r>
      <w:r w:rsidR="00F87665" w:rsidRPr="00DA73DB">
        <w:rPr>
          <w:rFonts w:ascii="Palatino Linotype" w:hAnsi="Palatino Linotype"/>
          <w:lang w:val="nl-NL"/>
        </w:rPr>
        <w:t>.</w:t>
      </w:r>
      <w:r w:rsidR="00F87665" w:rsidRPr="00DA73DB">
        <w:rPr>
          <w:rStyle w:val="FootnoteReference"/>
          <w:rFonts w:ascii="Palatino Linotype" w:hAnsi="Palatino Linotype"/>
        </w:rPr>
        <w:footnoteReference w:id="7"/>
      </w:r>
    </w:p>
    <w:p w14:paraId="2535EE72" w14:textId="0CC0877D" w:rsidR="00D244EB" w:rsidRPr="00DA73DB" w:rsidRDefault="007A31A9" w:rsidP="00E47550">
      <w:pPr>
        <w:spacing w:after="0" w:line="240" w:lineRule="auto"/>
        <w:ind w:firstLine="340"/>
        <w:jc w:val="both"/>
        <w:rPr>
          <w:rFonts w:ascii="Palatino Linotype" w:hAnsi="Palatino Linotype"/>
          <w:lang w:val="nl-NL"/>
        </w:rPr>
      </w:pPr>
      <w:r w:rsidRPr="00DA73DB">
        <w:rPr>
          <w:rFonts w:ascii="Palatino Linotype" w:hAnsi="Palatino Linotype"/>
          <w:lang w:val="nl-NL"/>
        </w:rPr>
        <w:t>Penerbitan sukuk dapat dilakukan melalui dua mekanisme utama, yaitu melalui penawaran umum atau penawaran terbatas (</w:t>
      </w:r>
      <w:r w:rsidRPr="00DA73DB">
        <w:rPr>
          <w:rFonts w:ascii="Palatino Linotype" w:hAnsi="Palatino Linotype"/>
          <w:i/>
          <w:lang w:val="nl-NL"/>
        </w:rPr>
        <w:t>private</w:t>
      </w:r>
      <w:r w:rsidRPr="00DA73DB">
        <w:rPr>
          <w:rFonts w:ascii="Palatino Linotype" w:hAnsi="Palatino Linotype"/>
          <w:lang w:val="nl-NL"/>
        </w:rPr>
        <w:t xml:space="preserve"> </w:t>
      </w:r>
      <w:r w:rsidRPr="00DA73DB">
        <w:rPr>
          <w:rFonts w:ascii="Palatino Linotype" w:hAnsi="Palatino Linotype"/>
          <w:i/>
          <w:lang w:val="nl-NL"/>
        </w:rPr>
        <w:t>placement</w:t>
      </w:r>
      <w:r w:rsidRPr="00DA73DB">
        <w:rPr>
          <w:rFonts w:ascii="Palatino Linotype" w:hAnsi="Palatino Linotype"/>
          <w:lang w:val="nl-NL"/>
        </w:rPr>
        <w:t xml:space="preserve">). Penawaran umum berarti sukuk dijual kepada publik, sehingga memungkinkan </w:t>
      </w:r>
      <w:r w:rsidRPr="00DA73DB">
        <w:rPr>
          <w:rFonts w:ascii="Palatino Linotype" w:eastAsia="Calibri" w:hAnsi="Palatino Linotype" w:cs="Calibri"/>
          <w:kern w:val="0"/>
          <w:lang w:val="nl-NL" w:eastAsia="en-ID"/>
          <w14:ligatures w14:val="none"/>
        </w:rPr>
        <w:t>partisipasi</w:t>
      </w:r>
      <w:r w:rsidRPr="00DA73DB">
        <w:rPr>
          <w:rFonts w:ascii="Palatino Linotype" w:hAnsi="Palatino Linotype"/>
          <w:lang w:val="nl-NL"/>
        </w:rPr>
        <w:t xml:space="preserve"> luas dari berbagai jenis investor. Sementara itu, penawaran terbatas berarti sukuk dijual kepada sekelompok investor tertentu saja, yang umumnya merupakan investor institusional atau pihak-pihak yang memiliki hubungan khusus dengan penerbit. Peraturan mengenai private placement untuk sukuk di Indonesia diatur dalam Peraturan Otoritas Jasa Keuangan Nomor 18/POJK.04/2015 tentang Penerbitan dan Persyaratan Sukuk, yang kemudian diubah oleh Peraturan Otoritas Jasa Keuangan Nomor 3/POJK.04/2018 (“</w:t>
      </w:r>
      <w:r w:rsidRPr="00DA73DB">
        <w:rPr>
          <w:rFonts w:ascii="Palatino Linotype" w:hAnsi="Palatino Linotype"/>
          <w:b/>
          <w:lang w:val="nl-NL"/>
        </w:rPr>
        <w:t>POJK No.18/2015</w:t>
      </w:r>
      <w:r w:rsidRPr="00DA73DB">
        <w:rPr>
          <w:rFonts w:ascii="Palatino Linotype" w:hAnsi="Palatino Linotype"/>
          <w:lang w:val="nl-NL"/>
        </w:rPr>
        <w:t xml:space="preserve"> </w:t>
      </w:r>
      <w:r w:rsidRPr="00DA73DB">
        <w:rPr>
          <w:rFonts w:ascii="Palatino Linotype" w:hAnsi="Palatino Linotype"/>
          <w:b/>
          <w:lang w:val="nl-NL"/>
        </w:rPr>
        <w:t>dan Perubahan</w:t>
      </w:r>
      <w:r w:rsidRPr="00DA73DB">
        <w:rPr>
          <w:rFonts w:ascii="Palatino Linotype" w:hAnsi="Palatino Linotype"/>
          <w:lang w:val="nl-NL"/>
        </w:rPr>
        <w:t xml:space="preserve">”). Peraturan ini menetapkan syarat-syarat serta mekanisme yang harus dipenuhi oleh pihak-pihak yang ingin menerbitkan sukuk melalui penawaran terbatas. </w:t>
      </w:r>
    </w:p>
    <w:p w14:paraId="4A92C15A" w14:textId="4AF6D144" w:rsidR="00DA3F46" w:rsidRPr="00DA73DB" w:rsidRDefault="00782438" w:rsidP="00E47550">
      <w:pPr>
        <w:spacing w:after="0" w:line="240" w:lineRule="auto"/>
        <w:ind w:firstLine="340"/>
        <w:jc w:val="both"/>
        <w:rPr>
          <w:rFonts w:ascii="Palatino Linotype" w:hAnsi="Palatino Linotype"/>
          <w:lang w:val="nl-NL"/>
        </w:rPr>
      </w:pPr>
      <w:r w:rsidRPr="00DA73DB">
        <w:rPr>
          <w:rFonts w:ascii="Palatino Linotype" w:hAnsi="Palatino Linotype"/>
          <w:lang w:val="nl-NL"/>
        </w:rPr>
        <w:t>P</w:t>
      </w:r>
      <w:r w:rsidR="00176910" w:rsidRPr="00DA73DB">
        <w:rPr>
          <w:rFonts w:ascii="Palatino Linotype" w:hAnsi="Palatino Linotype"/>
          <w:lang w:val="nl-NL"/>
        </w:rPr>
        <w:t xml:space="preserve">emerintah Indonesia juga baru saja menerbitkan Peraturan Pemerintah Republik Indonesia Nomor 1 Tahun 2024 tentang Harmonisasi Kebijakan Fiskal Nasional, yang memberikan kerangka hukum lebih lanjut mengenai penerbitan sukuk daerah. Sukuk daerah, yang juga dikenal sebagai </w:t>
      </w:r>
      <w:r w:rsidR="00176910" w:rsidRPr="00DA73DB">
        <w:rPr>
          <w:rFonts w:ascii="Palatino Linotype" w:hAnsi="Palatino Linotype"/>
          <w:i/>
          <w:lang w:val="nl-NL"/>
        </w:rPr>
        <w:t>municipal</w:t>
      </w:r>
      <w:r w:rsidR="00176910" w:rsidRPr="00DA73DB">
        <w:rPr>
          <w:rFonts w:ascii="Palatino Linotype" w:hAnsi="Palatino Linotype"/>
          <w:lang w:val="nl-NL"/>
        </w:rPr>
        <w:t xml:space="preserve"> sukuk, merupakan instrumen </w:t>
      </w:r>
      <w:r w:rsidR="00176910" w:rsidRPr="00DA73DB">
        <w:rPr>
          <w:rFonts w:ascii="Palatino Linotype" w:eastAsia="Calibri" w:hAnsi="Palatino Linotype" w:cs="Calibri"/>
          <w:kern w:val="0"/>
          <w:lang w:val="nl-NL" w:eastAsia="en-ID"/>
          <w14:ligatures w14:val="none"/>
        </w:rPr>
        <w:t>pendanaan</w:t>
      </w:r>
      <w:r w:rsidR="00176910" w:rsidRPr="00DA73DB">
        <w:rPr>
          <w:rFonts w:ascii="Palatino Linotype" w:hAnsi="Palatino Linotype"/>
          <w:lang w:val="nl-NL"/>
        </w:rPr>
        <w:t xml:space="preserve"> yang dapat diterbitkan oleh pemerintah daerah untuk membiayai proyek-proyek pembangunan di wilayah mereka. Meskipun regulasi mengenai sukuk daerah telah ada, hingga saat ini belum ada provinsi di Indonesia yang telah menerbitkan sukuk daerah. Padahal, penerbitan sukuk daerah dapat menjadi salah satu alternatif penting dalam upaya pembiayaan pembangunan infrastruktur, tanpa bergantung sepenuhnya pada Anggaran Pendapatan dan Belanja Daerah (“</w:t>
      </w:r>
      <w:r w:rsidR="00176910" w:rsidRPr="00DA73DB">
        <w:rPr>
          <w:rFonts w:ascii="Palatino Linotype" w:hAnsi="Palatino Linotype"/>
          <w:b/>
          <w:lang w:val="nl-NL"/>
        </w:rPr>
        <w:t>APBD</w:t>
      </w:r>
      <w:r w:rsidR="00176910" w:rsidRPr="00DA73DB">
        <w:rPr>
          <w:rFonts w:ascii="Palatino Linotype" w:hAnsi="Palatino Linotype"/>
          <w:lang w:val="nl-NL"/>
        </w:rPr>
        <w:t>”)</w:t>
      </w:r>
      <w:r w:rsidR="00F87124" w:rsidRPr="00DA73DB">
        <w:rPr>
          <w:rFonts w:ascii="Palatino Linotype" w:hAnsi="Palatino Linotype"/>
          <w:lang w:val="nl-NL"/>
        </w:rPr>
        <w:t>.</w:t>
      </w:r>
      <w:r w:rsidR="00D244EB" w:rsidRPr="00DA73DB">
        <w:rPr>
          <w:rFonts w:ascii="Palatino Linotype" w:hAnsi="Palatino Linotype"/>
          <w:lang w:val="nl-NL"/>
        </w:rPr>
        <w:t xml:space="preserve"> </w:t>
      </w:r>
    </w:p>
    <w:p w14:paraId="475BA392" w14:textId="2ED1F8D4" w:rsidR="00FB3375" w:rsidRPr="00DA73DB" w:rsidRDefault="00DA3F46" w:rsidP="00E47550">
      <w:pPr>
        <w:spacing w:after="0" w:line="240" w:lineRule="auto"/>
        <w:ind w:firstLine="340"/>
        <w:jc w:val="both"/>
        <w:rPr>
          <w:rFonts w:ascii="Palatino Linotype" w:hAnsi="Palatino Linotype"/>
        </w:rPr>
      </w:pPr>
      <w:r w:rsidRPr="00DA73DB">
        <w:rPr>
          <w:rFonts w:ascii="Palatino Linotype" w:hAnsi="Palatino Linotype"/>
          <w:lang w:val="nl-NL"/>
        </w:rPr>
        <w:t>Salah satu contoh potensi penggunaan sukuk daerah adalah proyek pembangunan Kereta Api Ringan (Light Rail Transit atau LRT) oleh Pemerintah Provinsi Daerah Khusus Ibukota Jakarta (</w:t>
      </w:r>
      <w:r w:rsidR="0002358F" w:rsidRPr="00DA73DB">
        <w:rPr>
          <w:rFonts w:ascii="Palatino Linotype" w:hAnsi="Palatino Linotype"/>
          <w:lang w:val="nl-NL"/>
        </w:rPr>
        <w:t>“</w:t>
      </w:r>
      <w:r w:rsidRPr="00DA73DB">
        <w:rPr>
          <w:rFonts w:ascii="Palatino Linotype" w:hAnsi="Palatino Linotype"/>
          <w:b/>
          <w:lang w:val="nl-NL"/>
        </w:rPr>
        <w:t>Pemprov DKI Jakarta</w:t>
      </w:r>
      <w:r w:rsidR="0002358F" w:rsidRPr="00DA73DB">
        <w:rPr>
          <w:rFonts w:ascii="Palatino Linotype" w:hAnsi="Palatino Linotype"/>
          <w:lang w:val="nl-NL"/>
        </w:rPr>
        <w:t>”</w:t>
      </w:r>
      <w:r w:rsidRPr="00DA73DB">
        <w:rPr>
          <w:rFonts w:ascii="Palatino Linotype" w:hAnsi="Palatino Linotype"/>
          <w:lang w:val="nl-NL"/>
        </w:rPr>
        <w:t xml:space="preserve">). Berdasarkan </w:t>
      </w:r>
      <w:r w:rsidRPr="00DA73DB">
        <w:rPr>
          <w:rFonts w:ascii="Palatino Linotype" w:eastAsia="Calibri" w:hAnsi="Palatino Linotype" w:cs="Calibri"/>
          <w:kern w:val="0"/>
          <w:lang w:val="nl-NL" w:eastAsia="en-ID"/>
          <w14:ligatures w14:val="none"/>
        </w:rPr>
        <w:t>Peraturan</w:t>
      </w:r>
      <w:r w:rsidRPr="00DA73DB">
        <w:rPr>
          <w:rFonts w:ascii="Palatino Linotype" w:hAnsi="Palatino Linotype"/>
          <w:lang w:val="nl-NL"/>
        </w:rPr>
        <w:t xml:space="preserve"> Gubernur Nomor 154 Tahun 2017, PT Jakarta Propertindo (Perseroda) sebagai Badan Usaha Milik Daerah (</w:t>
      </w:r>
      <w:r w:rsidR="0002358F" w:rsidRPr="00DA73DB">
        <w:rPr>
          <w:rFonts w:ascii="Palatino Linotype" w:hAnsi="Palatino Linotype"/>
          <w:lang w:val="nl-NL"/>
        </w:rPr>
        <w:t>“</w:t>
      </w:r>
      <w:r w:rsidRPr="00DA73DB">
        <w:rPr>
          <w:rFonts w:ascii="Palatino Linotype" w:hAnsi="Palatino Linotype"/>
          <w:b/>
          <w:lang w:val="nl-NL"/>
        </w:rPr>
        <w:t>BUMD</w:t>
      </w:r>
      <w:r w:rsidR="0002358F" w:rsidRPr="00DA73DB">
        <w:rPr>
          <w:rFonts w:ascii="Palatino Linotype" w:hAnsi="Palatino Linotype"/>
          <w:lang w:val="nl-NL"/>
        </w:rPr>
        <w:t>”</w:t>
      </w:r>
      <w:r w:rsidRPr="00DA73DB">
        <w:rPr>
          <w:rFonts w:ascii="Palatino Linotype" w:hAnsi="Palatino Linotype"/>
          <w:lang w:val="nl-NL"/>
        </w:rPr>
        <w:t xml:space="preserve">) ditugaskan untuk melaksanakan pembangunan proyek tersebut. </w:t>
      </w:r>
      <w:r w:rsidRPr="00DA73DB">
        <w:rPr>
          <w:rFonts w:ascii="Palatino Linotype" w:hAnsi="Palatino Linotype"/>
          <w:lang w:val="en-US"/>
        </w:rPr>
        <w:t>Proyek ini sejalan dengan rencana pemerintah pusat yang menetapkan LRT sebagai bagian dari Proyek Strategis Nasional (</w:t>
      </w:r>
      <w:r w:rsidR="0002358F" w:rsidRPr="00DA73DB">
        <w:rPr>
          <w:rFonts w:ascii="Palatino Linotype" w:hAnsi="Palatino Linotype"/>
          <w:lang w:val="en-US"/>
        </w:rPr>
        <w:t>“</w:t>
      </w:r>
      <w:r w:rsidRPr="00DA73DB">
        <w:rPr>
          <w:rFonts w:ascii="Palatino Linotype" w:hAnsi="Palatino Linotype"/>
          <w:b/>
          <w:lang w:val="en-US"/>
        </w:rPr>
        <w:t>PSN</w:t>
      </w:r>
      <w:r w:rsidR="0002358F" w:rsidRPr="00DA73DB">
        <w:rPr>
          <w:rFonts w:ascii="Palatino Linotype" w:hAnsi="Palatino Linotype"/>
          <w:lang w:val="en-US"/>
        </w:rPr>
        <w:t>”</w:t>
      </w:r>
      <w:r w:rsidRPr="00DA73DB">
        <w:rPr>
          <w:rFonts w:ascii="Palatino Linotype" w:hAnsi="Palatino Linotype"/>
          <w:lang w:val="en-US"/>
        </w:rPr>
        <w:t xml:space="preserve">). Untuk membiayai proyek ini, pemerintah provinsi dapat memanfaatkan alternatif pendanaan di luar APBD, salah satunya melalui penerbitan </w:t>
      </w:r>
      <w:r w:rsidRPr="00DA73DB">
        <w:rPr>
          <w:rFonts w:ascii="Palatino Linotype" w:hAnsi="Palatino Linotype"/>
          <w:i/>
          <w:lang w:val="en-US"/>
        </w:rPr>
        <w:t>Green</w:t>
      </w:r>
      <w:r w:rsidRPr="00DA73DB">
        <w:rPr>
          <w:rFonts w:ascii="Palatino Linotype" w:hAnsi="Palatino Linotype"/>
          <w:lang w:val="en-US"/>
        </w:rPr>
        <w:t xml:space="preserve"> Sukuk. </w:t>
      </w:r>
      <w:r w:rsidRPr="00DA73DB">
        <w:rPr>
          <w:rFonts w:ascii="Palatino Linotype" w:hAnsi="Palatino Linotype"/>
          <w:i/>
          <w:lang w:val="en-US"/>
        </w:rPr>
        <w:t>Green</w:t>
      </w:r>
      <w:r w:rsidRPr="00DA73DB">
        <w:rPr>
          <w:rFonts w:ascii="Palatino Linotype" w:hAnsi="Palatino Linotype"/>
          <w:lang w:val="en-US"/>
        </w:rPr>
        <w:t xml:space="preserve"> Sukuk merupakan jenis sukuk yang khusus didedikasikan untuk pembiayaan proyek-proyek yang berkontribusi terhadap pelestarian lingkungan, seperti </w:t>
      </w:r>
      <w:r w:rsidRPr="00DA73DB">
        <w:rPr>
          <w:rFonts w:ascii="Palatino Linotype" w:hAnsi="Palatino Linotype"/>
          <w:lang w:val="en-US"/>
        </w:rPr>
        <w:lastRenderedPageBreak/>
        <w:t>pembangunan infrastruktur hijau, energi terbarukan, dan pengelolaan sumber daya alam yang berkelanjutan.</w:t>
      </w:r>
    </w:p>
    <w:p w14:paraId="41C565AC" w14:textId="6C20489A" w:rsidR="005D7510" w:rsidRPr="00DA73DB" w:rsidRDefault="001124BF" w:rsidP="00E47550">
      <w:pPr>
        <w:spacing w:after="0" w:line="240" w:lineRule="auto"/>
        <w:ind w:firstLine="340"/>
        <w:jc w:val="both"/>
        <w:rPr>
          <w:rFonts w:ascii="Palatino Linotype" w:hAnsi="Palatino Linotype"/>
        </w:rPr>
      </w:pPr>
      <w:r w:rsidRPr="00DA73DB">
        <w:rPr>
          <w:rFonts w:ascii="Palatino Linotype" w:hAnsi="Palatino Linotype"/>
        </w:rPr>
        <w:t xml:space="preserve">Tulisan ini bertujuan untuk menganalisis lebih dalam peraturan terkait sukuk daerah yang tergolong baru serta mekanisme </w:t>
      </w:r>
      <w:r w:rsidRPr="00DA73DB">
        <w:rPr>
          <w:rFonts w:ascii="Palatino Linotype" w:eastAsia="Calibri" w:hAnsi="Palatino Linotype" w:cs="Calibri"/>
          <w:kern w:val="0"/>
          <w:lang w:val="en-GB" w:eastAsia="en-ID"/>
          <w14:ligatures w14:val="none"/>
        </w:rPr>
        <w:t>penerbitannya</w:t>
      </w:r>
      <w:r w:rsidRPr="00DA73DB">
        <w:rPr>
          <w:rFonts w:ascii="Palatino Linotype" w:hAnsi="Palatino Linotype"/>
        </w:rPr>
        <w:t xml:space="preserve">. Lebih lanjut, tulisan ini juga akan mengkaji peluang penerbitan sukuk daerah melalui mekanisme di luar penawaran umum, seperti </w:t>
      </w:r>
      <w:r w:rsidRPr="00DA73DB">
        <w:rPr>
          <w:rFonts w:ascii="Palatino Linotype" w:hAnsi="Palatino Linotype"/>
          <w:i/>
        </w:rPr>
        <w:t>private placement</w:t>
      </w:r>
      <w:r w:rsidR="00605ACF" w:rsidRPr="00DA73DB">
        <w:rPr>
          <w:rFonts w:ascii="Palatino Linotype" w:hAnsi="Palatino Linotype"/>
        </w:rPr>
        <w:t>.</w:t>
      </w:r>
      <w:r w:rsidRPr="00DA73DB">
        <w:rPr>
          <w:rFonts w:ascii="Palatino Linotype" w:hAnsi="Palatino Linotype"/>
        </w:rPr>
        <w:t xml:space="preserve"> </w:t>
      </w:r>
    </w:p>
    <w:p w14:paraId="402988A0" w14:textId="71E4AC9C" w:rsidR="00A85333" w:rsidRPr="00DA73DB" w:rsidRDefault="00A85333" w:rsidP="006E6C17">
      <w:pPr>
        <w:spacing w:before="240"/>
        <w:jc w:val="both"/>
        <w:rPr>
          <w:rFonts w:ascii="Palatino Linotype" w:hAnsi="Palatino Linotype"/>
          <w:b/>
        </w:rPr>
      </w:pPr>
      <w:r w:rsidRPr="00DA73DB">
        <w:rPr>
          <w:rFonts w:ascii="Palatino Linotype" w:hAnsi="Palatino Linotype"/>
          <w:b/>
        </w:rPr>
        <w:t>Rumusan Masalah</w:t>
      </w:r>
    </w:p>
    <w:p w14:paraId="7BC86933" w14:textId="326EA784" w:rsidR="0017343D" w:rsidRPr="00DA73DB" w:rsidRDefault="003069F8" w:rsidP="00A85333">
      <w:pPr>
        <w:pStyle w:val="ListParagraph"/>
        <w:numPr>
          <w:ilvl w:val="0"/>
          <w:numId w:val="1"/>
        </w:numPr>
        <w:jc w:val="both"/>
        <w:rPr>
          <w:rFonts w:ascii="Palatino Linotype" w:hAnsi="Palatino Linotype"/>
        </w:rPr>
      </w:pPr>
      <w:r w:rsidRPr="00DA73DB">
        <w:rPr>
          <w:rFonts w:ascii="Palatino Linotype" w:hAnsi="Palatino Linotype"/>
        </w:rPr>
        <w:t>Bagaimana regulasi yang mengatur penerbitan sukuk daerah di Indonesia, khususnya terkait mekanisme dan persyaratan yang harus dipenuhi oleh pemerintah daerah dalam menerbitkan sukuk sebagai alternatif pendanaan</w:t>
      </w:r>
      <w:r w:rsidR="00D520AD" w:rsidRPr="00DA73DB">
        <w:rPr>
          <w:rFonts w:ascii="Palatino Linotype" w:hAnsi="Palatino Linotype"/>
        </w:rPr>
        <w:t>?</w:t>
      </w:r>
    </w:p>
    <w:p w14:paraId="4F05534C" w14:textId="6AC2FB00" w:rsidR="00B0505B" w:rsidRPr="00DA73DB" w:rsidRDefault="00B0505B" w:rsidP="00A85333">
      <w:pPr>
        <w:pStyle w:val="ListParagraph"/>
        <w:numPr>
          <w:ilvl w:val="0"/>
          <w:numId w:val="1"/>
        </w:numPr>
        <w:jc w:val="both"/>
        <w:rPr>
          <w:rFonts w:ascii="Palatino Linotype" w:hAnsi="Palatino Linotype"/>
        </w:rPr>
      </w:pPr>
      <w:r w:rsidRPr="00DA73DB">
        <w:rPr>
          <w:rFonts w:ascii="Palatino Linotype" w:hAnsi="Palatino Linotype"/>
        </w:rPr>
        <w:t xml:space="preserve">Bagaimana pengaturan terkait </w:t>
      </w:r>
      <w:r w:rsidR="00107EA0" w:rsidRPr="00DA73DB">
        <w:rPr>
          <w:rFonts w:ascii="Palatino Linotype" w:hAnsi="Palatino Linotype"/>
          <w:i/>
        </w:rPr>
        <w:t>g</w:t>
      </w:r>
      <w:r w:rsidRPr="00DA73DB">
        <w:rPr>
          <w:rFonts w:ascii="Palatino Linotype" w:hAnsi="Palatino Linotype"/>
          <w:i/>
        </w:rPr>
        <w:t>reen</w:t>
      </w:r>
      <w:r w:rsidRPr="00DA73DB">
        <w:rPr>
          <w:rFonts w:ascii="Palatino Linotype" w:hAnsi="Palatino Linotype"/>
        </w:rPr>
        <w:t xml:space="preserve"> Sukuk serta apa perbedaan utamanya dengan sukuk konvensional? </w:t>
      </w:r>
    </w:p>
    <w:p w14:paraId="6DD6959B" w14:textId="3D8DF5BD" w:rsidR="00A85333" w:rsidRPr="00DA73DB" w:rsidRDefault="00C279A6" w:rsidP="005742C1">
      <w:pPr>
        <w:pStyle w:val="ListParagraph"/>
        <w:numPr>
          <w:ilvl w:val="0"/>
          <w:numId w:val="1"/>
        </w:numPr>
        <w:jc w:val="both"/>
        <w:rPr>
          <w:rFonts w:ascii="Palatino Linotype" w:hAnsi="Palatino Linotype"/>
        </w:rPr>
      </w:pPr>
      <w:r w:rsidRPr="00DA73DB">
        <w:rPr>
          <w:rFonts w:ascii="Palatino Linotype" w:hAnsi="Palatino Linotype"/>
        </w:rPr>
        <w:t>Bagaimana mekanisme penerbitan sukuk daerah menurut peraturan yang berlaku?</w:t>
      </w:r>
    </w:p>
    <w:p w14:paraId="4E29369A" w14:textId="6051A2C9" w:rsidR="00075F3C" w:rsidRPr="00DA73DB" w:rsidRDefault="00C95AAC" w:rsidP="00DB7AF6">
      <w:pPr>
        <w:numPr>
          <w:ilvl w:val="0"/>
          <w:numId w:val="11"/>
        </w:numPr>
        <w:spacing w:before="240" w:line="240" w:lineRule="auto"/>
        <w:ind w:left="340"/>
        <w:jc w:val="both"/>
        <w:rPr>
          <w:rFonts w:ascii="Palatino Linotype" w:hAnsi="Palatino Linotype"/>
          <w:b/>
        </w:rPr>
      </w:pPr>
      <w:r w:rsidRPr="00DA73DB">
        <w:rPr>
          <w:rFonts w:ascii="Palatino Linotype" w:eastAsia="Calibri" w:hAnsi="Palatino Linotype" w:cs="Calibri"/>
          <w:b/>
          <w:kern w:val="0"/>
          <w:lang w:val="en-GB" w:eastAsia="en-ID"/>
          <w14:ligatures w14:val="none"/>
        </w:rPr>
        <w:t>Pembahasan</w:t>
      </w:r>
    </w:p>
    <w:p w14:paraId="67A6D5E6" w14:textId="1F113505" w:rsidR="00107EA0" w:rsidRPr="00DA73DB" w:rsidRDefault="000E6FAC" w:rsidP="00C965CB">
      <w:pPr>
        <w:pStyle w:val="ListParagraph"/>
        <w:numPr>
          <w:ilvl w:val="0"/>
          <w:numId w:val="12"/>
        </w:numPr>
        <w:spacing w:after="0" w:line="240" w:lineRule="auto"/>
        <w:ind w:left="357" w:hanging="357"/>
        <w:jc w:val="both"/>
        <w:rPr>
          <w:rFonts w:ascii="Palatino Linotype" w:hAnsi="Palatino Linotype"/>
          <w:b/>
        </w:rPr>
      </w:pPr>
      <w:r w:rsidRPr="00DA73DB">
        <w:rPr>
          <w:rFonts w:ascii="Palatino Linotype" w:eastAsia="Calibri" w:hAnsi="Palatino Linotype" w:cs="Calibri"/>
          <w:b/>
          <w:kern w:val="0"/>
          <w:lang w:val="en-GB" w:eastAsia="en-ID"/>
          <w14:ligatures w14:val="none"/>
        </w:rPr>
        <w:t>Regulasi Penerbitan Sukuk Daerah di Indonesia dan Syarat yang harus dipenuhi Pemerintah Daerah</w:t>
      </w:r>
    </w:p>
    <w:p w14:paraId="2E11FE9B" w14:textId="2AC94C70" w:rsidR="000C617D" w:rsidRPr="00DA73DB" w:rsidRDefault="00C3311D" w:rsidP="000A2F38">
      <w:pPr>
        <w:spacing w:after="0" w:line="240" w:lineRule="auto"/>
        <w:ind w:firstLine="340"/>
        <w:jc w:val="both"/>
        <w:rPr>
          <w:rFonts w:ascii="Palatino Linotype" w:hAnsi="Palatino Linotype"/>
        </w:rPr>
      </w:pPr>
      <w:r w:rsidRPr="00DA73DB">
        <w:rPr>
          <w:rFonts w:ascii="Palatino Linotype" w:hAnsi="Palatino Linotype"/>
        </w:rPr>
        <w:t>Sukuk adalah instrumen keuangan syariah yang sering disebut sebagai obligasi syariah (</w:t>
      </w:r>
      <w:r w:rsidRPr="00DA73DB">
        <w:rPr>
          <w:rFonts w:ascii="Palatino Linotype" w:hAnsi="Palatino Linotype"/>
          <w:i/>
        </w:rPr>
        <w:t>Islamic</w:t>
      </w:r>
      <w:r w:rsidRPr="00DA73DB">
        <w:rPr>
          <w:rFonts w:ascii="Palatino Linotype" w:hAnsi="Palatino Linotype"/>
        </w:rPr>
        <w:t xml:space="preserve"> </w:t>
      </w:r>
      <w:r w:rsidRPr="00DA73DB">
        <w:rPr>
          <w:rFonts w:ascii="Palatino Linotype" w:hAnsi="Palatino Linotype"/>
          <w:i/>
        </w:rPr>
        <w:t>bond</w:t>
      </w:r>
      <w:r w:rsidRPr="00DA73DB">
        <w:rPr>
          <w:rFonts w:ascii="Palatino Linotype" w:hAnsi="Palatino Linotype"/>
        </w:rPr>
        <w:t>).</w:t>
      </w:r>
      <w:r w:rsidR="00456E5B" w:rsidRPr="00DA73DB">
        <w:rPr>
          <w:rStyle w:val="FootnoteReference"/>
          <w:rFonts w:ascii="Palatino Linotype" w:hAnsi="Palatino Linotype"/>
        </w:rPr>
        <w:footnoteReference w:id="8"/>
      </w:r>
      <w:r w:rsidRPr="00DA73DB">
        <w:rPr>
          <w:rFonts w:ascii="Palatino Linotype" w:hAnsi="Palatino Linotype"/>
        </w:rPr>
        <w:t xml:space="preserve"> Sukuk juga dikenal dengan istilah Surat Berharga Syariah (SBS) </w:t>
      </w:r>
      <w:r w:rsidR="003F42E3" w:rsidRPr="00DA73DB">
        <w:rPr>
          <w:rFonts w:ascii="Palatino Linotype" w:hAnsi="Palatino Linotype"/>
        </w:rPr>
        <w:t>atau Surat Berharga Syariah Negara (SBSN/ Sukuk Negara) untuk sukuk yang diterbitkan oleh pemerintah</w:t>
      </w:r>
      <w:r w:rsidR="00406929" w:rsidRPr="00DA73DB">
        <w:rPr>
          <w:rFonts w:ascii="Palatino Linotype" w:hAnsi="Palatino Linotype"/>
        </w:rPr>
        <w:t>.</w:t>
      </w:r>
      <w:r w:rsidR="007D3151" w:rsidRPr="00DA73DB">
        <w:rPr>
          <w:rStyle w:val="FootnoteReference"/>
          <w:rFonts w:ascii="Palatino Linotype" w:hAnsi="Palatino Linotype"/>
        </w:rPr>
        <w:footnoteReference w:id="9"/>
      </w:r>
      <w:r w:rsidR="00555177" w:rsidRPr="00DA73DB">
        <w:rPr>
          <w:rFonts w:ascii="Palatino Linotype" w:hAnsi="Palatino Linotype"/>
        </w:rPr>
        <w:t xml:space="preserve"> </w:t>
      </w:r>
      <w:r w:rsidR="00EB49AB" w:rsidRPr="00DA73DB">
        <w:rPr>
          <w:rFonts w:ascii="Palatino Linotype" w:hAnsi="Palatino Linotype"/>
        </w:rPr>
        <w:t>Sukuk merupakan efek syariah berupa sertifikat atau bukti kepemilikan yang bernilai sama dan mewakili bagian yang tidak terpisahkan atau tidak terbagi (</w:t>
      </w:r>
      <w:r w:rsidR="00EB49AB" w:rsidRPr="00DA73DB">
        <w:rPr>
          <w:rFonts w:ascii="Palatino Linotype" w:hAnsi="Palatino Linotype"/>
          <w:i/>
        </w:rPr>
        <w:t>syuyu’</w:t>
      </w:r>
      <w:r w:rsidR="00EB49AB" w:rsidRPr="00DA73DB">
        <w:rPr>
          <w:rFonts w:ascii="Palatino Linotype" w:hAnsi="Palatino Linotype"/>
        </w:rPr>
        <w:t>/</w:t>
      </w:r>
      <w:r w:rsidR="00EB49AB" w:rsidRPr="00DA73DB">
        <w:rPr>
          <w:rFonts w:ascii="Palatino Linotype" w:hAnsi="Palatino Linotype"/>
          <w:i/>
        </w:rPr>
        <w:t>undivided</w:t>
      </w:r>
      <w:r w:rsidR="00EB49AB" w:rsidRPr="00DA73DB">
        <w:rPr>
          <w:rFonts w:ascii="Palatino Linotype" w:hAnsi="Palatino Linotype"/>
        </w:rPr>
        <w:t xml:space="preserve"> </w:t>
      </w:r>
      <w:r w:rsidR="00EB49AB" w:rsidRPr="00DA73DB">
        <w:rPr>
          <w:rFonts w:ascii="Palatino Linotype" w:hAnsi="Palatino Linotype"/>
          <w:i/>
        </w:rPr>
        <w:t>share</w:t>
      </w:r>
      <w:r w:rsidR="00EB49AB" w:rsidRPr="00DA73DB">
        <w:rPr>
          <w:rFonts w:ascii="Palatino Linotype" w:hAnsi="Palatino Linotype"/>
        </w:rPr>
        <w:t>), atas aset yang mendasarinya</w:t>
      </w:r>
      <w:r w:rsidR="00683240" w:rsidRPr="00DA73DB">
        <w:rPr>
          <w:rFonts w:ascii="Palatino Linotype" w:hAnsi="Palatino Linotype"/>
        </w:rPr>
        <w:t>.</w:t>
      </w:r>
      <w:r w:rsidR="00EB49AB" w:rsidRPr="00DA73DB">
        <w:rPr>
          <w:rStyle w:val="FootnoteReference"/>
          <w:rFonts w:ascii="Palatino Linotype" w:hAnsi="Palatino Linotype"/>
        </w:rPr>
        <w:footnoteReference w:id="10"/>
      </w:r>
      <w:r w:rsidR="00EB49AB" w:rsidRPr="00DA73DB">
        <w:rPr>
          <w:rFonts w:ascii="Palatino Linotype" w:hAnsi="Palatino Linotype"/>
        </w:rPr>
        <w:t xml:space="preserve"> </w:t>
      </w:r>
    </w:p>
    <w:p w14:paraId="746CCE01" w14:textId="44AD74A6" w:rsidR="009C0805" w:rsidRPr="00DA73DB" w:rsidRDefault="009C0805" w:rsidP="000A2F38">
      <w:pPr>
        <w:spacing w:after="0" w:line="240" w:lineRule="auto"/>
        <w:ind w:firstLine="340"/>
        <w:jc w:val="both"/>
        <w:rPr>
          <w:rFonts w:ascii="Palatino Linotype" w:hAnsi="Palatino Linotype"/>
        </w:rPr>
      </w:pPr>
      <w:r w:rsidRPr="00DA73DB">
        <w:rPr>
          <w:rFonts w:ascii="Palatino Linotype" w:hAnsi="Palatino Linotype"/>
        </w:rPr>
        <w:t xml:space="preserve">Sukuk secara umum memiliki dua jenis struktur, yaitu </w:t>
      </w:r>
      <w:r w:rsidRPr="00DA73DB">
        <w:rPr>
          <w:rFonts w:ascii="Palatino Linotype" w:hAnsi="Palatino Linotype"/>
          <w:i/>
        </w:rPr>
        <w:t>asset</w:t>
      </w:r>
      <w:r w:rsidRPr="00DA73DB">
        <w:rPr>
          <w:rFonts w:ascii="Palatino Linotype" w:hAnsi="Palatino Linotype"/>
        </w:rPr>
        <w:t>-</w:t>
      </w:r>
      <w:r w:rsidRPr="00DA73DB">
        <w:rPr>
          <w:rFonts w:ascii="Palatino Linotype" w:hAnsi="Palatino Linotype"/>
          <w:i/>
        </w:rPr>
        <w:t>backed</w:t>
      </w:r>
      <w:r w:rsidRPr="00DA73DB">
        <w:rPr>
          <w:rFonts w:ascii="Palatino Linotype" w:hAnsi="Palatino Linotype"/>
        </w:rPr>
        <w:t xml:space="preserve"> sukuk dan </w:t>
      </w:r>
      <w:r w:rsidRPr="00DA73DB">
        <w:rPr>
          <w:rFonts w:ascii="Palatino Linotype" w:hAnsi="Palatino Linotype"/>
          <w:i/>
        </w:rPr>
        <w:t>asset</w:t>
      </w:r>
      <w:r w:rsidRPr="00DA73DB">
        <w:rPr>
          <w:rFonts w:ascii="Palatino Linotype" w:hAnsi="Palatino Linotype"/>
        </w:rPr>
        <w:t>-</w:t>
      </w:r>
      <w:r w:rsidRPr="00DA73DB">
        <w:rPr>
          <w:rFonts w:ascii="Palatino Linotype" w:hAnsi="Palatino Linotype"/>
          <w:i/>
        </w:rPr>
        <w:t>based</w:t>
      </w:r>
      <w:r w:rsidRPr="00DA73DB">
        <w:rPr>
          <w:rFonts w:ascii="Palatino Linotype" w:hAnsi="Palatino Linotype"/>
        </w:rPr>
        <w:t xml:space="preserve"> sukuk. </w:t>
      </w:r>
      <w:r w:rsidRPr="00DA73DB">
        <w:rPr>
          <w:rFonts w:ascii="Palatino Linotype" w:hAnsi="Palatino Linotype"/>
          <w:i/>
        </w:rPr>
        <w:t>Asset</w:t>
      </w:r>
      <w:r w:rsidRPr="00DA73DB">
        <w:rPr>
          <w:rFonts w:ascii="Palatino Linotype" w:hAnsi="Palatino Linotype"/>
        </w:rPr>
        <w:t>-</w:t>
      </w:r>
      <w:r w:rsidRPr="00DA73DB">
        <w:rPr>
          <w:rFonts w:ascii="Palatino Linotype" w:hAnsi="Palatino Linotype"/>
          <w:i/>
        </w:rPr>
        <w:t>backed</w:t>
      </w:r>
      <w:r w:rsidRPr="00DA73DB">
        <w:rPr>
          <w:rFonts w:ascii="Palatino Linotype" w:hAnsi="Palatino Linotype"/>
        </w:rPr>
        <w:t xml:space="preserve"> sukuk merupakan struktur sukuk yang memberikan pemegang sukuk hak kepemilikan penuh atas aset yang menjadi </w:t>
      </w:r>
      <w:r w:rsidRPr="00DA73DB">
        <w:rPr>
          <w:rFonts w:ascii="Palatino Linotype" w:hAnsi="Palatino Linotype"/>
          <w:i/>
        </w:rPr>
        <w:t>underlying</w:t>
      </w:r>
      <w:r w:rsidRPr="00DA73DB">
        <w:rPr>
          <w:rFonts w:ascii="Palatino Linotype" w:hAnsi="Palatino Linotype"/>
        </w:rPr>
        <w:t xml:space="preserve"> </w:t>
      </w:r>
      <w:r w:rsidR="002609A2" w:rsidRPr="00DA73DB">
        <w:rPr>
          <w:rFonts w:ascii="Palatino Linotype" w:hAnsi="Palatino Linotype"/>
          <w:i/>
        </w:rPr>
        <w:t xml:space="preserve">asset </w:t>
      </w:r>
      <w:r w:rsidRPr="00DA73DB">
        <w:rPr>
          <w:rFonts w:ascii="Palatino Linotype" w:hAnsi="Palatino Linotype"/>
        </w:rPr>
        <w:t>atau dasar penerbitan sukuk tersebut</w:t>
      </w:r>
      <w:r w:rsidR="00150C2E" w:rsidRPr="00DA73DB">
        <w:rPr>
          <w:rFonts w:ascii="Palatino Linotype" w:hAnsi="Palatino Linotype"/>
        </w:rPr>
        <w:t>.</w:t>
      </w:r>
      <w:r w:rsidR="007F4B4B" w:rsidRPr="00DA73DB">
        <w:rPr>
          <w:rStyle w:val="FootnoteReference"/>
          <w:rFonts w:ascii="Palatino Linotype" w:hAnsi="Palatino Linotype"/>
        </w:rPr>
        <w:footnoteReference w:id="11"/>
      </w:r>
      <w:r w:rsidRPr="00DA73DB">
        <w:rPr>
          <w:rFonts w:ascii="Palatino Linotype" w:hAnsi="Palatino Linotype"/>
        </w:rPr>
        <w:t xml:space="preserve"> Sementara itu, </w:t>
      </w:r>
      <w:r w:rsidRPr="00DA73DB">
        <w:rPr>
          <w:rFonts w:ascii="Palatino Linotype" w:hAnsi="Palatino Linotype"/>
          <w:i/>
        </w:rPr>
        <w:t>asset</w:t>
      </w:r>
      <w:r w:rsidRPr="00DA73DB">
        <w:rPr>
          <w:rFonts w:ascii="Palatino Linotype" w:hAnsi="Palatino Linotype"/>
        </w:rPr>
        <w:t>-</w:t>
      </w:r>
      <w:r w:rsidRPr="00DA73DB">
        <w:rPr>
          <w:rFonts w:ascii="Palatino Linotype" w:hAnsi="Palatino Linotype"/>
          <w:i/>
        </w:rPr>
        <w:t>based</w:t>
      </w:r>
      <w:r w:rsidRPr="00DA73DB">
        <w:rPr>
          <w:rFonts w:ascii="Palatino Linotype" w:hAnsi="Palatino Linotype"/>
        </w:rPr>
        <w:t xml:space="preserve"> sukuk adalah struktur sukuk di mana pemegang sukuk tidak memiliki hak kepemilikan langsung atas </w:t>
      </w:r>
      <w:r w:rsidRPr="00DA73DB">
        <w:rPr>
          <w:rFonts w:ascii="Palatino Linotype" w:hAnsi="Palatino Linotype"/>
          <w:i/>
        </w:rPr>
        <w:t>underlying</w:t>
      </w:r>
      <w:r w:rsidRPr="00DA73DB">
        <w:rPr>
          <w:rFonts w:ascii="Palatino Linotype" w:hAnsi="Palatino Linotype"/>
        </w:rPr>
        <w:t xml:space="preserve"> </w:t>
      </w:r>
      <w:r w:rsidRPr="00DA73DB">
        <w:rPr>
          <w:rFonts w:ascii="Palatino Linotype" w:hAnsi="Palatino Linotype"/>
          <w:i/>
        </w:rPr>
        <w:t>asset</w:t>
      </w:r>
      <w:r w:rsidRPr="00DA73DB">
        <w:rPr>
          <w:rFonts w:ascii="Palatino Linotype" w:hAnsi="Palatino Linotype"/>
        </w:rPr>
        <w:t xml:space="preserve">, melainkan hanya mendapatkan kepemilikan manfaat atau </w:t>
      </w:r>
      <w:r w:rsidRPr="00DA73DB">
        <w:rPr>
          <w:rFonts w:ascii="Palatino Linotype" w:hAnsi="Palatino Linotype"/>
          <w:i/>
        </w:rPr>
        <w:t>beneficial</w:t>
      </w:r>
      <w:r w:rsidRPr="00DA73DB">
        <w:rPr>
          <w:rFonts w:ascii="Palatino Linotype" w:hAnsi="Palatino Linotype"/>
        </w:rPr>
        <w:t xml:space="preserve"> </w:t>
      </w:r>
      <w:r w:rsidRPr="00DA73DB">
        <w:rPr>
          <w:rFonts w:ascii="Palatino Linotype" w:hAnsi="Palatino Linotype"/>
          <w:i/>
        </w:rPr>
        <w:t>ownership</w:t>
      </w:r>
      <w:r w:rsidRPr="00DA73DB">
        <w:rPr>
          <w:rFonts w:ascii="Palatino Linotype" w:hAnsi="Palatino Linotype"/>
        </w:rPr>
        <w:t>.</w:t>
      </w:r>
      <w:r w:rsidR="00562EBD" w:rsidRPr="00DA73DB">
        <w:rPr>
          <w:rStyle w:val="FootnoteReference"/>
          <w:rFonts w:ascii="Palatino Linotype" w:hAnsi="Palatino Linotype"/>
        </w:rPr>
        <w:t xml:space="preserve"> </w:t>
      </w:r>
      <w:r w:rsidR="00562EBD" w:rsidRPr="00DA73DB">
        <w:rPr>
          <w:rStyle w:val="FootnoteReference"/>
          <w:rFonts w:ascii="Palatino Linotype" w:hAnsi="Palatino Linotype"/>
        </w:rPr>
        <w:footnoteReference w:id="12"/>
      </w:r>
      <w:r w:rsidRPr="00DA73DB">
        <w:rPr>
          <w:rFonts w:ascii="Palatino Linotype" w:hAnsi="Palatino Linotype"/>
        </w:rPr>
        <w:t xml:space="preserve"> Artinya, pemegang sukuk hanya berhak mendapatkan keuntungan yang dihasilkan dari aset tersebut, tanpa memiliki hak langsung terhadap aset fisik atau proyek yang menjadi dasar</w:t>
      </w:r>
      <w:r w:rsidR="00D65DF3" w:rsidRPr="00DA73DB">
        <w:rPr>
          <w:rFonts w:ascii="Palatino Linotype" w:hAnsi="Palatino Linotype"/>
        </w:rPr>
        <w:t xml:space="preserve"> penerbitan</w:t>
      </w:r>
      <w:r w:rsidRPr="00DA73DB">
        <w:rPr>
          <w:rFonts w:ascii="Palatino Linotype" w:hAnsi="Palatino Linotype"/>
        </w:rPr>
        <w:t xml:space="preserve"> sukuk.</w:t>
      </w:r>
      <w:r w:rsidR="00671C71" w:rsidRPr="00DA73DB">
        <w:rPr>
          <w:rStyle w:val="FootnoteReference"/>
          <w:rFonts w:ascii="Palatino Linotype" w:hAnsi="Palatino Linotype"/>
        </w:rPr>
        <w:footnoteReference w:id="13"/>
      </w:r>
      <w:r w:rsidRPr="00DA73DB">
        <w:rPr>
          <w:rFonts w:ascii="Palatino Linotype" w:hAnsi="Palatino Linotype"/>
        </w:rPr>
        <w:t xml:space="preserve"> Dalam praktiknya, mayoritas sukuk yang diterbitkan menggunakan struktur </w:t>
      </w:r>
      <w:r w:rsidRPr="00DA73DB">
        <w:rPr>
          <w:rFonts w:ascii="Palatino Linotype" w:hAnsi="Palatino Linotype"/>
          <w:i/>
        </w:rPr>
        <w:t>asset</w:t>
      </w:r>
      <w:r w:rsidRPr="00DA73DB">
        <w:rPr>
          <w:rFonts w:ascii="Palatino Linotype" w:hAnsi="Palatino Linotype"/>
        </w:rPr>
        <w:t>-</w:t>
      </w:r>
      <w:r w:rsidRPr="00DA73DB">
        <w:rPr>
          <w:rFonts w:ascii="Palatino Linotype" w:hAnsi="Palatino Linotype"/>
          <w:i/>
        </w:rPr>
        <w:t>based</w:t>
      </w:r>
      <w:r w:rsidRPr="00DA73DB">
        <w:rPr>
          <w:rFonts w:ascii="Palatino Linotype" w:hAnsi="Palatino Linotype"/>
        </w:rPr>
        <w:t>.</w:t>
      </w:r>
      <w:r w:rsidR="00562EBD" w:rsidRPr="00DA73DB">
        <w:rPr>
          <w:rStyle w:val="FootnoteReference"/>
          <w:rFonts w:ascii="Palatino Linotype" w:hAnsi="Palatino Linotype"/>
        </w:rPr>
        <w:footnoteReference w:id="14"/>
      </w:r>
    </w:p>
    <w:p w14:paraId="27A176FF" w14:textId="4F80ED1D" w:rsidR="00C90DEF" w:rsidRPr="00DA73DB" w:rsidRDefault="00C84372" w:rsidP="000A2F38">
      <w:pPr>
        <w:spacing w:after="0" w:line="240" w:lineRule="auto"/>
        <w:ind w:firstLine="340"/>
        <w:jc w:val="both"/>
        <w:rPr>
          <w:rFonts w:ascii="Palatino Linotype" w:hAnsi="Palatino Linotype"/>
        </w:rPr>
      </w:pPr>
      <w:r w:rsidRPr="00DA73DB">
        <w:rPr>
          <w:rFonts w:ascii="Palatino Linotype" w:hAnsi="Palatino Linotype"/>
          <w:i/>
        </w:rPr>
        <w:t xml:space="preserve">Underlying asset </w:t>
      </w:r>
      <w:r w:rsidR="00C90DEF" w:rsidRPr="00DA73DB">
        <w:rPr>
          <w:rFonts w:ascii="Palatino Linotype" w:hAnsi="Palatino Linotype"/>
        </w:rPr>
        <w:t xml:space="preserve">tersebut dialihkan kepada </w:t>
      </w:r>
      <w:r w:rsidR="00C90DEF" w:rsidRPr="00DA73DB">
        <w:rPr>
          <w:rFonts w:ascii="Palatino Linotype" w:hAnsi="Palatino Linotype"/>
          <w:i/>
        </w:rPr>
        <w:t>Special Purpose Vehicle</w:t>
      </w:r>
      <w:r w:rsidR="00C90DEF" w:rsidRPr="00DA73DB">
        <w:rPr>
          <w:rFonts w:ascii="Palatino Linotype" w:hAnsi="Palatino Linotype"/>
        </w:rPr>
        <w:t xml:space="preserve"> (“</w:t>
      </w:r>
      <w:r w:rsidR="00C90DEF" w:rsidRPr="00DA73DB">
        <w:rPr>
          <w:rFonts w:ascii="Palatino Linotype" w:hAnsi="Palatino Linotype"/>
          <w:b/>
        </w:rPr>
        <w:t>SPV</w:t>
      </w:r>
      <w:r w:rsidR="00C90DEF" w:rsidRPr="00DA73DB">
        <w:rPr>
          <w:rFonts w:ascii="Palatino Linotype" w:hAnsi="Palatino Linotype"/>
        </w:rPr>
        <w:t>”), entitas yang dibentuk khusus untuk tujuan ini. SPV memiliki peran penting dalam struktur sukuk, di mana SPV menjalankan dua tugas utama, yaitu sebagai pengelola aset atas nama pemegang sukuk (investor) dan sebagai penerbit sukuk itu sendiri.</w:t>
      </w:r>
      <w:r w:rsidR="00293739" w:rsidRPr="00DA73DB">
        <w:rPr>
          <w:rStyle w:val="FootnoteReference"/>
          <w:rFonts w:ascii="Palatino Linotype" w:hAnsi="Palatino Linotype"/>
        </w:rPr>
        <w:footnoteReference w:id="15"/>
      </w:r>
      <w:r w:rsidR="00C90DEF" w:rsidRPr="00DA73DB">
        <w:rPr>
          <w:rFonts w:ascii="Palatino Linotype" w:hAnsi="Palatino Linotype"/>
        </w:rPr>
        <w:t xml:space="preserve"> Sebagai pengelola aset, SPV bertanggung jawab untuk memastikan bahwa kewajiban kepada investor terpenuhi, termasuk menjamin hak investor untuk menerima imbal hasil (</w:t>
      </w:r>
      <w:r w:rsidR="00C90DEF" w:rsidRPr="00DA73DB">
        <w:rPr>
          <w:rFonts w:ascii="Palatino Linotype" w:hAnsi="Palatino Linotype"/>
          <w:i/>
        </w:rPr>
        <w:t>yield</w:t>
      </w:r>
      <w:r w:rsidR="00C90DEF" w:rsidRPr="00DA73DB">
        <w:rPr>
          <w:rFonts w:ascii="Palatino Linotype" w:hAnsi="Palatino Linotype"/>
        </w:rPr>
        <w:t xml:space="preserve">) sesuai dengan ketentuan dalam akad, serta mengelola pengaturan terkait kepemilikan dan pengalihan aset yang mendasari sukuk tersebut. </w:t>
      </w:r>
      <w:r w:rsidR="00155CF6" w:rsidRPr="00DA73DB">
        <w:rPr>
          <w:rStyle w:val="FootnoteReference"/>
          <w:rFonts w:ascii="Palatino Linotype" w:hAnsi="Palatino Linotype"/>
        </w:rPr>
        <w:footnoteReference w:id="16"/>
      </w:r>
    </w:p>
    <w:p w14:paraId="785ECBC8" w14:textId="77777777" w:rsidR="00C90DEF" w:rsidRPr="00DA73DB" w:rsidRDefault="00C90DEF" w:rsidP="000A2F38">
      <w:pPr>
        <w:spacing w:after="0" w:line="240" w:lineRule="auto"/>
        <w:ind w:firstLine="340"/>
        <w:jc w:val="both"/>
        <w:rPr>
          <w:rFonts w:ascii="Palatino Linotype" w:hAnsi="Palatino Linotype"/>
        </w:rPr>
      </w:pPr>
      <w:r w:rsidRPr="00DA73DB">
        <w:rPr>
          <w:rFonts w:ascii="Palatino Linotype" w:hAnsi="Palatino Linotype"/>
        </w:rPr>
        <w:t>Pihak-pihak yang terlibat dalam penerbitan sukuk dapat bervariasi tergantung pada jenis akad yang digunakan, namun secara umum, struktur sukuk akan melibatkan beberapa pihak sebagai berikut:</w:t>
      </w:r>
      <w:r w:rsidRPr="00DA73DB">
        <w:rPr>
          <w:rStyle w:val="FootnoteReference"/>
          <w:rFonts w:ascii="Palatino Linotype" w:hAnsi="Palatino Linotype"/>
        </w:rPr>
        <w:footnoteReference w:id="17"/>
      </w:r>
    </w:p>
    <w:p w14:paraId="67BCABDE" w14:textId="4FA22AD1" w:rsidR="00C90DEF" w:rsidRPr="00DA73DB" w:rsidRDefault="00C90DEF" w:rsidP="00C90DEF">
      <w:pPr>
        <w:pStyle w:val="ListParagraph"/>
        <w:numPr>
          <w:ilvl w:val="0"/>
          <w:numId w:val="5"/>
        </w:numPr>
        <w:jc w:val="both"/>
        <w:rPr>
          <w:rFonts w:ascii="Palatino Linotype" w:hAnsi="Palatino Linotype"/>
        </w:rPr>
      </w:pPr>
      <w:r w:rsidRPr="00DA73DB">
        <w:rPr>
          <w:rFonts w:ascii="Palatino Linotype" w:hAnsi="Palatino Linotype"/>
        </w:rPr>
        <w:t xml:space="preserve">Penerbit sukuk atau </w:t>
      </w:r>
      <w:r w:rsidRPr="00DA73DB">
        <w:rPr>
          <w:rFonts w:ascii="Palatino Linotype" w:hAnsi="Palatino Linotype"/>
          <w:i/>
        </w:rPr>
        <w:t>obligor</w:t>
      </w:r>
      <w:r w:rsidRPr="00DA73DB">
        <w:rPr>
          <w:rFonts w:ascii="Palatino Linotype" w:hAnsi="Palatino Linotype"/>
        </w:rPr>
        <w:t xml:space="preserve"> adalah pihak yang bertanggung jawab atas pembayaran pokok serta imbal hasil dari sukuk yang diterbitkan.</w:t>
      </w:r>
      <w:r w:rsidR="00DC3918" w:rsidRPr="00DA73DB">
        <w:rPr>
          <w:rStyle w:val="FootnoteReference"/>
          <w:rFonts w:ascii="Palatino Linotype" w:hAnsi="Palatino Linotype"/>
        </w:rPr>
        <w:footnoteReference w:id="18"/>
      </w:r>
      <w:r w:rsidRPr="00DA73DB">
        <w:rPr>
          <w:rFonts w:ascii="Palatino Linotype" w:hAnsi="Palatino Linotype"/>
        </w:rPr>
        <w:t xml:space="preserve"> Jika sukuk diterbitkan oleh pemerintah, maka penerbit atau obligor adalah pemerintah yang bersangkutan.</w:t>
      </w:r>
    </w:p>
    <w:p w14:paraId="4C1A595C" w14:textId="1647CB47" w:rsidR="00C90DEF" w:rsidRPr="00DA73DB" w:rsidRDefault="00C90DEF" w:rsidP="00C90DEF">
      <w:pPr>
        <w:pStyle w:val="ListParagraph"/>
        <w:numPr>
          <w:ilvl w:val="0"/>
          <w:numId w:val="5"/>
        </w:numPr>
        <w:jc w:val="both"/>
        <w:rPr>
          <w:rFonts w:ascii="Palatino Linotype" w:hAnsi="Palatino Linotype"/>
        </w:rPr>
      </w:pPr>
      <w:r w:rsidRPr="00DA73DB">
        <w:rPr>
          <w:rFonts w:ascii="Palatino Linotype" w:hAnsi="Palatino Linotype"/>
        </w:rPr>
        <w:t>SPV</w:t>
      </w:r>
      <w:r w:rsidRPr="00DA73DB">
        <w:rPr>
          <w:rFonts w:ascii="Palatino Linotype" w:hAnsi="Palatino Linotype"/>
          <w:i/>
        </w:rPr>
        <w:t xml:space="preserve"> </w:t>
      </w:r>
      <w:r w:rsidRPr="00DA73DB">
        <w:rPr>
          <w:rFonts w:ascii="Palatino Linotype" w:hAnsi="Palatino Linotype"/>
        </w:rPr>
        <w:t>adalah badan hukum yang didirikan secara khusus untuk menerbitkan sukuk dan bertugas sebagai wali amanat yang menjalankan semua pengaturan dalam penerbitan sukuk;</w:t>
      </w:r>
      <w:r w:rsidR="00585C53" w:rsidRPr="00DA73DB">
        <w:rPr>
          <w:rStyle w:val="FootnoteReference"/>
          <w:rFonts w:ascii="Palatino Linotype" w:hAnsi="Palatino Linotype"/>
        </w:rPr>
        <w:footnoteReference w:id="19"/>
      </w:r>
    </w:p>
    <w:p w14:paraId="29E305F9" w14:textId="77777777" w:rsidR="00C90DEF" w:rsidRPr="00DA73DB" w:rsidRDefault="00C90DEF" w:rsidP="00C90DEF">
      <w:pPr>
        <w:pStyle w:val="ListParagraph"/>
        <w:numPr>
          <w:ilvl w:val="0"/>
          <w:numId w:val="5"/>
        </w:numPr>
        <w:jc w:val="both"/>
        <w:rPr>
          <w:rFonts w:ascii="Palatino Linotype" w:hAnsi="Palatino Linotype"/>
          <w:lang w:val="nl-NL"/>
        </w:rPr>
      </w:pPr>
      <w:r w:rsidRPr="00DA73DB">
        <w:rPr>
          <w:rFonts w:ascii="Palatino Linotype" w:hAnsi="Palatino Linotype"/>
        </w:rPr>
        <w:t xml:space="preserve">Investor atau pemegang sukuk adalah pihak yang memiliki hak atas </w:t>
      </w:r>
      <w:r w:rsidRPr="00DA73DB">
        <w:rPr>
          <w:rFonts w:ascii="Palatino Linotype" w:hAnsi="Palatino Linotype"/>
          <w:i/>
        </w:rPr>
        <w:t xml:space="preserve">underlying asset </w:t>
      </w:r>
      <w:r w:rsidRPr="00DA73DB">
        <w:rPr>
          <w:rFonts w:ascii="Palatino Linotype" w:hAnsi="Palatino Linotype"/>
        </w:rPr>
        <w:t xml:space="preserve">melalui SPV. </w:t>
      </w:r>
      <w:r w:rsidRPr="00DA73DB">
        <w:rPr>
          <w:rFonts w:ascii="Palatino Linotype" w:hAnsi="Palatino Linotype"/>
          <w:lang w:val="nl-NL"/>
        </w:rPr>
        <w:t>Investor berhak untuk menerima imbal hasil dan pokok investasi sesuai dengan ketentuan akad yang disepakati. Investor juga berhak atas perlindungan kepentingannya melalui mekanisme wali amanat yang ditunjuk untuk mengawasi pelaksanaan akad.</w:t>
      </w:r>
    </w:p>
    <w:p w14:paraId="4E0EC4D1" w14:textId="3BC864B7" w:rsidR="00C90DEF" w:rsidRPr="00DA73DB" w:rsidRDefault="00C90DEF" w:rsidP="00694A45">
      <w:pPr>
        <w:pStyle w:val="ListParagraph"/>
        <w:numPr>
          <w:ilvl w:val="0"/>
          <w:numId w:val="5"/>
        </w:numPr>
        <w:jc w:val="both"/>
        <w:rPr>
          <w:rFonts w:ascii="Palatino Linotype" w:hAnsi="Palatino Linotype"/>
          <w:lang w:val="nl-NL"/>
        </w:rPr>
      </w:pPr>
      <w:r w:rsidRPr="00DA73DB">
        <w:rPr>
          <w:rFonts w:ascii="Palatino Linotype" w:hAnsi="Palatino Linotype"/>
          <w:lang w:val="nl-NL"/>
        </w:rPr>
        <w:t xml:space="preserve">Wali amanat atau </w:t>
      </w:r>
      <w:r w:rsidRPr="00DA73DB">
        <w:rPr>
          <w:rFonts w:ascii="Palatino Linotype" w:hAnsi="Palatino Linotype"/>
          <w:i/>
          <w:lang w:val="nl-NL"/>
        </w:rPr>
        <w:t>trustee</w:t>
      </w:r>
      <w:r w:rsidRPr="00DA73DB">
        <w:rPr>
          <w:rFonts w:ascii="Palatino Linotype" w:hAnsi="Palatino Linotype"/>
          <w:lang w:val="nl-NL"/>
        </w:rPr>
        <w:t xml:space="preserve"> adalah pihak yang mewakili kepentingan pemegang sukuk sesuai dengan yang diperjanjikan.</w:t>
      </w:r>
    </w:p>
    <w:p w14:paraId="0175D7C2" w14:textId="1A0F0A67" w:rsidR="00694A45" w:rsidRPr="00DA73DB" w:rsidRDefault="00694A45" w:rsidP="009E1C4D">
      <w:pPr>
        <w:spacing w:after="0" w:line="240" w:lineRule="auto"/>
        <w:ind w:firstLine="340"/>
        <w:jc w:val="both"/>
        <w:rPr>
          <w:rFonts w:ascii="Palatino Linotype" w:hAnsi="Palatino Linotype"/>
        </w:rPr>
      </w:pPr>
      <w:r w:rsidRPr="00DA73DB">
        <w:rPr>
          <w:rFonts w:ascii="Palatino Linotype" w:hAnsi="Palatino Linotype"/>
          <w:lang w:val="nl-NL"/>
        </w:rPr>
        <w:t xml:space="preserve">Sukuk seperti instrumen keuangan syariah lainnya, sukuk harus memenuhi prinsip-prinsip syariah yang ditetapkan dalam Pasar Modal Syariah. Prinsip ini memastikan bahwa transaksi yang dilakukan tidak bertentangan dengan ajaran Islam, seperti menghindari unsur riba, gharar (ketidakpastian), dan maisir (judi). </w:t>
      </w:r>
      <w:r w:rsidRPr="00DA73DB">
        <w:rPr>
          <w:rFonts w:ascii="Palatino Linotype" w:hAnsi="Palatino Linotype"/>
        </w:rPr>
        <w:t>Di Indonesia, pengaturan mengenai penerapan prinsip syariah di pasar modal diatur oleh Peraturan Otoritas Jasa Keuangan Nomor 15/POJK.04/2015 Tahun 2015 tentang Penerapan Prinsip Syariah di Pasar Modal (“</w:t>
      </w:r>
      <w:r w:rsidRPr="00DA73DB">
        <w:rPr>
          <w:rFonts w:ascii="Palatino Linotype" w:hAnsi="Palatino Linotype"/>
          <w:b/>
        </w:rPr>
        <w:t>POJK No.15/2015</w:t>
      </w:r>
      <w:r w:rsidRPr="00DA73DB">
        <w:rPr>
          <w:rFonts w:ascii="Palatino Linotype" w:hAnsi="Palatino Linotype"/>
        </w:rPr>
        <w:t>”). Peraturan ini merujuk pada fatwa yang dikeluarkan oleh Dewan Syariah Nasional – Majelis Ulama Indonesia (“</w:t>
      </w:r>
      <w:r w:rsidRPr="00DA73DB">
        <w:rPr>
          <w:rFonts w:ascii="Palatino Linotype" w:hAnsi="Palatino Linotype"/>
          <w:b/>
        </w:rPr>
        <w:t>DSN-MUI</w:t>
      </w:r>
      <w:r w:rsidRPr="00DA73DB">
        <w:rPr>
          <w:rFonts w:ascii="Palatino Linotype" w:hAnsi="Palatino Linotype"/>
        </w:rPr>
        <w:t xml:space="preserve">”), yang menjadi acuan dalam memastikan bahwa semua kegiatan di pasar modal, termasuk penerbitan sukuk, sesuai dengan prinsip syariah. </w:t>
      </w:r>
    </w:p>
    <w:p w14:paraId="20E2DDCF" w14:textId="5D7D2391" w:rsidR="00694A45" w:rsidRPr="00DA73DB" w:rsidRDefault="00694A45" w:rsidP="009E1C4D">
      <w:pPr>
        <w:spacing w:after="0" w:line="240" w:lineRule="auto"/>
        <w:ind w:firstLine="340"/>
        <w:jc w:val="both"/>
        <w:rPr>
          <w:rFonts w:ascii="Palatino Linotype" w:hAnsi="Palatino Linotype"/>
          <w:highlight w:val="yellow"/>
        </w:rPr>
      </w:pPr>
      <w:r w:rsidRPr="00DA73DB">
        <w:rPr>
          <w:rFonts w:ascii="Palatino Linotype" w:hAnsi="Palatino Linotype"/>
        </w:rPr>
        <w:t>Meskipun OJK tidak secara langsung mendefinisikan prinsip-prinsip syariah secara rinci, fatwa DSN-MUI memberikan panduan umum mengenai prinsip-prinsip yang harus diikuti. Fatwa ini juga menekankan bahwa setiap pihak yang ingin menerbitkan sukuk, harus memperoleh pernyataan kesesuaian syariah terlebih dahulu Namun, fatwa DSN-MUI sendiri tidak menyediakan penjabaran secara eksplisit mengenai apa saja yang termasuk dalam "Prinsip Syariah." DSN-MUI hanya memberikan definisi umum bahwa</w:t>
      </w:r>
      <w:r w:rsidR="00684262" w:rsidRPr="00DA73DB">
        <w:rPr>
          <w:rFonts w:ascii="Palatino Linotype" w:hAnsi="Palatino Linotype"/>
        </w:rPr>
        <w:t>:</w:t>
      </w:r>
    </w:p>
    <w:p w14:paraId="3A6407BF" w14:textId="77777777" w:rsidR="00694A45" w:rsidRPr="00DA73DB" w:rsidRDefault="00694A45" w:rsidP="00684262">
      <w:pPr>
        <w:spacing w:before="240"/>
        <w:jc w:val="both"/>
        <w:rPr>
          <w:rFonts w:ascii="Palatino Linotype" w:hAnsi="Palatino Linotype"/>
        </w:rPr>
      </w:pPr>
      <w:r w:rsidRPr="00DA73DB">
        <w:rPr>
          <w:rFonts w:ascii="Palatino Linotype" w:hAnsi="Palatino Linotype"/>
        </w:rPr>
        <w:t>“</w:t>
      </w:r>
      <w:r w:rsidRPr="00DA73DB">
        <w:rPr>
          <w:rFonts w:ascii="Palatino Linotype" w:hAnsi="Palatino Linotype"/>
          <w:i/>
        </w:rPr>
        <w:t>Prinsip-prinsip Syariah adalah prinsip-prinsip yang didasarkan atas ajaran Islam yang penetapannya dilakukan oleh DSN-MUI, baik ditetapkan dalam fatwa ini maupun dalam fatwa terkait lainnya</w:t>
      </w:r>
      <w:r w:rsidRPr="00DA73DB">
        <w:rPr>
          <w:rFonts w:ascii="Palatino Linotype" w:hAnsi="Palatino Linotype"/>
        </w:rPr>
        <w:t>”</w:t>
      </w:r>
    </w:p>
    <w:p w14:paraId="2A89FC8C" w14:textId="77777777" w:rsidR="00694A45" w:rsidRPr="00DA73DB" w:rsidRDefault="00694A45" w:rsidP="009E1C4D">
      <w:pPr>
        <w:spacing w:after="0" w:line="240" w:lineRule="auto"/>
        <w:ind w:firstLine="340"/>
        <w:jc w:val="both"/>
        <w:rPr>
          <w:rFonts w:ascii="Palatino Linotype" w:hAnsi="Palatino Linotype"/>
        </w:rPr>
      </w:pPr>
      <w:r w:rsidRPr="00DA73DB">
        <w:rPr>
          <w:rFonts w:ascii="Palatino Linotype" w:hAnsi="Palatino Linotype"/>
        </w:rPr>
        <w:t>Secara umum, fatwa DSN-MUI mengatur bahwa kegiatan di pasar modal beserta seluruh mekanisme terkait, terutama yang berkaitan dengan emiten, jenis efek yang diperdagangkan, serta mekanisme perdagangannya, dianggap sesuai dengan syariah jika telah memperoleh pernyataan kesesuaian syariah.</w:t>
      </w:r>
      <w:r w:rsidRPr="00DA73DB">
        <w:rPr>
          <w:rStyle w:val="FootnoteReference"/>
          <w:rFonts w:ascii="Palatino Linotype" w:hAnsi="Palatino Linotype"/>
        </w:rPr>
        <w:footnoteReference w:id="20"/>
      </w:r>
      <w:r w:rsidRPr="00DA73DB">
        <w:rPr>
          <w:rFonts w:ascii="Palatino Linotype" w:hAnsi="Palatino Linotype"/>
        </w:rPr>
        <w:t xml:space="preserve"> Meski tidak terdapat definisi eksplisit mengenai prinsip-prinsip syariah secara rinci, fatwa DSN-MUI, khususnya Fatwa DSN-MUI Nomor 137/DSN-MUI/IX/2020 tentang Sukuk (“</w:t>
      </w:r>
      <w:r w:rsidRPr="00DA73DB">
        <w:rPr>
          <w:rFonts w:ascii="Palatino Linotype" w:hAnsi="Palatino Linotype"/>
          <w:b/>
        </w:rPr>
        <w:t>Fatwa DSN-MUI 137/2020</w:t>
      </w:r>
      <w:r w:rsidRPr="00DA73DB">
        <w:rPr>
          <w:rFonts w:ascii="Palatino Linotype" w:hAnsi="Palatino Linotype"/>
        </w:rPr>
        <w:t>”) menetapkan unsur-unsur yang bertentangan dengan prinsip-prinsip tersebut.</w:t>
      </w:r>
    </w:p>
    <w:p w14:paraId="0AAA540A" w14:textId="77777777" w:rsidR="00694A45" w:rsidRPr="00DA73DB" w:rsidRDefault="00694A45" w:rsidP="009E1C4D">
      <w:pPr>
        <w:spacing w:after="0" w:line="240" w:lineRule="auto"/>
        <w:ind w:firstLine="340"/>
        <w:jc w:val="both"/>
        <w:rPr>
          <w:rFonts w:ascii="Palatino Linotype" w:hAnsi="Palatino Linotype"/>
        </w:rPr>
      </w:pPr>
      <w:r w:rsidRPr="00DA73DB">
        <w:rPr>
          <w:rFonts w:ascii="Palatino Linotype" w:hAnsi="Palatino Linotype"/>
        </w:rPr>
        <w:t>Unsur-unsur yang dianggap bertentangan dengan prinsip syariah meliputi riba (bunga), gharar (ketidakpastian), maisir (judi), tadlis (penipuan), dharar (mudarat), risywah (suap), serta aktivitas yang melibatkan hal-hal yang diharamkan dalam Islam seperti kezaliman (zhulm) dan kemaksiatan. Lebih lanjut, POJK No. 15/2015 juga melarang aktivitas yang berkaitan dengan produksi, distribusi, perdagangan, atau penyediaan barang dan jasa yang haram, baik dari segi zat maupun non-zat, serta yang dapat merusak moral atau menimbulkan mudarat.</w:t>
      </w:r>
      <w:r w:rsidRPr="00DA73DB">
        <w:rPr>
          <w:rStyle w:val="FootnoteReference"/>
          <w:rFonts w:ascii="Palatino Linotype" w:hAnsi="Palatino Linotype"/>
        </w:rPr>
        <w:footnoteReference w:id="21"/>
      </w:r>
      <w:r w:rsidRPr="00DA73DB">
        <w:rPr>
          <w:rFonts w:ascii="Palatino Linotype" w:hAnsi="Palatino Linotype"/>
        </w:rPr>
        <w:t xml:space="preserve"> </w:t>
      </w:r>
    </w:p>
    <w:p w14:paraId="6252117D" w14:textId="4366BA8E" w:rsidR="00694A45" w:rsidRPr="00DA73DB" w:rsidRDefault="00694A45" w:rsidP="009E1C4D">
      <w:pPr>
        <w:spacing w:after="0" w:line="240" w:lineRule="auto"/>
        <w:ind w:firstLine="340"/>
        <w:jc w:val="both"/>
        <w:rPr>
          <w:rFonts w:ascii="Palatino Linotype" w:hAnsi="Palatino Linotype"/>
        </w:rPr>
      </w:pPr>
      <w:r w:rsidRPr="00DA73DB">
        <w:rPr>
          <w:rFonts w:ascii="Palatino Linotype" w:hAnsi="Palatino Linotype"/>
        </w:rPr>
        <w:t>Transaksi yang bertentangan dengan Prinsip Syariah di Pasar Modal mencakup antara (a) perdagangan atau transaksi dengan penawaran dan/atau permintaan palsu, (b) perdagangan atau transaksi yang tidak disertai dengan penyerahan barang dan/atau jasa, (c) perdagangan atas barang yang belum dimiliki, (d) pembelian atau penjualan atas efek yang menggunakan atau memanfaatkan informasi orang dalam emiten atau perusahaan publik, (e) transaksi marjin atas efek syariah yang mengandung unsur bunga (</w:t>
      </w:r>
      <w:r w:rsidRPr="00DA73DB">
        <w:rPr>
          <w:rFonts w:ascii="Palatino Linotype" w:hAnsi="Palatino Linotype"/>
          <w:i/>
        </w:rPr>
        <w:t>riba</w:t>
      </w:r>
      <w:r w:rsidRPr="00DA73DB">
        <w:rPr>
          <w:rFonts w:ascii="Palatino Linotype" w:hAnsi="Palatino Linotype"/>
        </w:rPr>
        <w:t>), (f) perdagangan atau transaksi dengan tujuan penimbunan (</w:t>
      </w:r>
      <w:r w:rsidRPr="00DA73DB">
        <w:rPr>
          <w:rFonts w:ascii="Palatino Linotype" w:hAnsi="Palatino Linotype"/>
          <w:i/>
        </w:rPr>
        <w:t>ihtikar</w:t>
      </w:r>
      <w:r w:rsidRPr="00DA73DB">
        <w:rPr>
          <w:rFonts w:ascii="Palatino Linotype" w:hAnsi="Palatino Linotype"/>
        </w:rPr>
        <w:t>), (g) melakukan perdagangan atau transaksi yang mengandung unsur suap (</w:t>
      </w:r>
      <w:r w:rsidRPr="00DA73DB">
        <w:rPr>
          <w:rFonts w:ascii="Palatino Linotype" w:hAnsi="Palatino Linotype"/>
          <w:i/>
        </w:rPr>
        <w:t>risywah</w:t>
      </w:r>
      <w:r w:rsidRPr="00DA73DB">
        <w:rPr>
          <w:rFonts w:ascii="Palatino Linotype" w:hAnsi="Palatino Linotype"/>
        </w:rPr>
        <w:t>), dan (h) transaksi lain yang mengandung unsur spekulasi (</w:t>
      </w:r>
      <w:r w:rsidRPr="00DA73DB">
        <w:rPr>
          <w:rFonts w:ascii="Palatino Linotype" w:hAnsi="Palatino Linotype"/>
          <w:i/>
        </w:rPr>
        <w:t>gharar</w:t>
      </w:r>
      <w:r w:rsidRPr="00DA73DB">
        <w:rPr>
          <w:rFonts w:ascii="Palatino Linotype" w:hAnsi="Palatino Linotype"/>
        </w:rPr>
        <w:t>), penipuan (</w:t>
      </w:r>
      <w:r w:rsidRPr="00DA73DB">
        <w:rPr>
          <w:rFonts w:ascii="Palatino Linotype" w:hAnsi="Palatino Linotype"/>
          <w:i/>
        </w:rPr>
        <w:t>tadlis</w:t>
      </w:r>
      <w:r w:rsidRPr="00DA73DB">
        <w:rPr>
          <w:rFonts w:ascii="Palatino Linotype" w:hAnsi="Palatino Linotype"/>
        </w:rPr>
        <w:t>) termasuk menyembunyikan kecacatan (</w:t>
      </w:r>
      <w:r w:rsidRPr="00DA73DB">
        <w:rPr>
          <w:rFonts w:ascii="Palatino Linotype" w:hAnsi="Palatino Linotype"/>
          <w:i/>
        </w:rPr>
        <w:t>ghisysy</w:t>
      </w:r>
      <w:r w:rsidRPr="00DA73DB">
        <w:rPr>
          <w:rFonts w:ascii="Palatino Linotype" w:hAnsi="Palatino Linotype"/>
        </w:rPr>
        <w:t>), dan upaya untuk mempengaruhi pihak lain yang mengandung kebohongan (</w:t>
      </w:r>
      <w:r w:rsidRPr="00DA73DB">
        <w:rPr>
          <w:rFonts w:ascii="Palatino Linotype" w:hAnsi="Palatino Linotype"/>
          <w:i/>
        </w:rPr>
        <w:t>taghrir</w:t>
      </w:r>
      <w:r w:rsidRPr="00DA73DB">
        <w:rPr>
          <w:rFonts w:ascii="Palatino Linotype" w:hAnsi="Palatino Linotype"/>
        </w:rPr>
        <w:t>).</w:t>
      </w:r>
      <w:r w:rsidRPr="00DA73DB">
        <w:rPr>
          <w:rStyle w:val="FootnoteReference"/>
          <w:rFonts w:ascii="Palatino Linotype" w:hAnsi="Palatino Linotype"/>
        </w:rPr>
        <w:footnoteReference w:id="22"/>
      </w:r>
    </w:p>
    <w:p w14:paraId="475E43A5" w14:textId="0C2669F6" w:rsidR="00694A45" w:rsidRPr="00DA73DB" w:rsidRDefault="00694A45" w:rsidP="009E1C4D">
      <w:pPr>
        <w:spacing w:after="0" w:line="240" w:lineRule="auto"/>
        <w:ind w:firstLine="340"/>
        <w:jc w:val="both"/>
        <w:rPr>
          <w:rFonts w:ascii="Palatino Linotype" w:hAnsi="Palatino Linotype"/>
        </w:rPr>
      </w:pPr>
      <w:r w:rsidRPr="00DA73DB">
        <w:rPr>
          <w:rFonts w:ascii="Palatino Linotype" w:hAnsi="Palatino Linotype"/>
        </w:rPr>
        <w:t>Sukuk bukan sekadar surat utang seperti obligasi konvensional, melainkan bukti kepemilikan atas aset berwujud yang mendasari penerbitan sukuk tersebut.</w:t>
      </w:r>
      <w:r w:rsidR="00A1060B" w:rsidRPr="00DA73DB">
        <w:rPr>
          <w:rStyle w:val="FootnoteReference"/>
          <w:rFonts w:ascii="Palatino Linotype" w:hAnsi="Palatino Linotype"/>
        </w:rPr>
        <w:footnoteReference w:id="23"/>
      </w:r>
      <w:r w:rsidR="00433A32" w:rsidRPr="00DA73DB">
        <w:rPr>
          <w:rFonts w:ascii="Palatino Linotype" w:hAnsi="Palatino Linotype"/>
        </w:rPr>
        <w:t xml:space="preserve"> </w:t>
      </w:r>
      <w:r w:rsidR="00ED4B4D" w:rsidRPr="00DA73DB">
        <w:rPr>
          <w:rFonts w:ascii="Palatino Linotype" w:hAnsi="Palatino Linotype"/>
        </w:rPr>
        <w:t>Aset dasar (</w:t>
      </w:r>
      <w:r w:rsidR="00ED4B4D" w:rsidRPr="00DA73DB">
        <w:rPr>
          <w:rFonts w:ascii="Palatino Linotype" w:hAnsi="Palatino Linotype"/>
          <w:i/>
        </w:rPr>
        <w:t>underlying asset</w:t>
      </w:r>
      <w:r w:rsidR="00ED4B4D" w:rsidRPr="00DA73DB">
        <w:rPr>
          <w:rFonts w:ascii="Palatino Linotype" w:hAnsi="Palatino Linotype"/>
        </w:rPr>
        <w:t>) ini digunakan sebagai basis bagi hasil, yang dibagikan berdasarkan nisbah yang telah disepakati oleh kedua belah pihak. Imbal hasil yang diterima investor bisa berupa sewa atau margin jual beli, tergantung pada akad yang digunakan, seperti ijarah atau murabahah</w:t>
      </w:r>
      <w:r w:rsidR="007665F5" w:rsidRPr="00DA73DB">
        <w:rPr>
          <w:rFonts w:ascii="Palatino Linotype" w:hAnsi="Palatino Linotype"/>
        </w:rPr>
        <w:t>.</w:t>
      </w:r>
      <w:r w:rsidR="007665F5" w:rsidRPr="00DA73DB">
        <w:rPr>
          <w:rStyle w:val="FootnoteReference"/>
          <w:rFonts w:ascii="Palatino Linotype" w:hAnsi="Palatino Linotype"/>
        </w:rPr>
        <w:footnoteReference w:id="24"/>
      </w:r>
      <w:r w:rsidR="007665F5" w:rsidRPr="00DA73DB">
        <w:rPr>
          <w:rFonts w:ascii="Palatino Linotype" w:hAnsi="Palatino Linotype"/>
        </w:rPr>
        <w:t xml:space="preserve"> </w:t>
      </w:r>
      <w:r w:rsidR="000E3AE3" w:rsidRPr="00DA73DB">
        <w:rPr>
          <w:rFonts w:ascii="Palatino Linotype" w:hAnsi="Palatino Linotype"/>
        </w:rPr>
        <w:t>Perbedaan utama antara sukuk dan obligasi konvensional terletak pada keberadaan aset riil sebagai prasyarat dalam sukuk, sementara obligasi konvensional hanya merupakan surat utang yang tidak memerlukan aset dasar</w:t>
      </w:r>
      <w:r w:rsidRPr="00DA73DB">
        <w:rPr>
          <w:rFonts w:ascii="Palatino Linotype" w:hAnsi="Palatino Linotype"/>
        </w:rPr>
        <w:t>.</w:t>
      </w:r>
      <w:r w:rsidR="00967FF1" w:rsidRPr="00DA73DB">
        <w:rPr>
          <w:rStyle w:val="FootnoteReference"/>
          <w:rFonts w:ascii="Palatino Linotype" w:hAnsi="Palatino Linotype"/>
        </w:rPr>
        <w:footnoteReference w:id="25"/>
      </w:r>
      <w:r w:rsidRPr="00DA73DB">
        <w:rPr>
          <w:rFonts w:ascii="Palatino Linotype" w:hAnsi="Palatino Linotype"/>
        </w:rPr>
        <w:t xml:space="preserve"> Keberadaan aset riil dalam sukuk memastikan bahwa instrumen ini tetap sesuai dengan prinsip-prinsip syariah, yang melarang transaksi berbasis riba (bunga), gharar (ketidakpastian), dan maisir (judi).</w:t>
      </w:r>
      <w:r w:rsidRPr="00DA73DB">
        <w:rPr>
          <w:rStyle w:val="FootnoteReference"/>
          <w:rFonts w:ascii="Palatino Linotype" w:hAnsi="Palatino Linotype"/>
        </w:rPr>
        <w:footnoteReference w:id="26"/>
      </w:r>
    </w:p>
    <w:p w14:paraId="2C6DCD57" w14:textId="303AB372" w:rsidR="0038561C" w:rsidRPr="00DA73DB" w:rsidRDefault="00152FA0" w:rsidP="008C0CB8">
      <w:pPr>
        <w:spacing w:after="0" w:line="240" w:lineRule="auto"/>
        <w:ind w:firstLine="340"/>
        <w:jc w:val="both"/>
        <w:rPr>
          <w:rFonts w:ascii="Palatino Linotype" w:hAnsi="Palatino Linotype"/>
        </w:rPr>
      </w:pPr>
      <w:r w:rsidRPr="00DA73DB">
        <w:rPr>
          <w:rFonts w:ascii="Palatino Linotype" w:hAnsi="Palatino Linotype"/>
        </w:rPr>
        <w:t>Penerbitan sukuk daerah memiliki potensi besar untuk mengurangi ketergantungan pada APBD yang terbatas dan memberikan kesempatan kepada masyarakat lokal untuk berkontribusi dalam pembangunan infrastruktur di daerah</w:t>
      </w:r>
      <w:r w:rsidR="00746BA3" w:rsidRPr="00DA73DB">
        <w:rPr>
          <w:rFonts w:ascii="Palatino Linotype" w:hAnsi="Palatino Linotype"/>
        </w:rPr>
        <w:t>nya</w:t>
      </w:r>
      <w:r w:rsidRPr="00DA73DB">
        <w:rPr>
          <w:rFonts w:ascii="Palatino Linotype" w:hAnsi="Palatino Linotype"/>
        </w:rPr>
        <w:t>.</w:t>
      </w:r>
      <w:r w:rsidR="00746BA3" w:rsidRPr="00DA73DB">
        <w:rPr>
          <w:rStyle w:val="FootnoteReference"/>
          <w:rFonts w:ascii="Palatino Linotype" w:hAnsi="Palatino Linotype"/>
        </w:rPr>
        <w:footnoteReference w:id="27"/>
      </w:r>
      <w:r w:rsidRPr="00DA73DB">
        <w:rPr>
          <w:rFonts w:ascii="Palatino Linotype" w:hAnsi="Palatino Linotype"/>
        </w:rPr>
        <w:t xml:space="preserve"> Salah satu manfaat utama dari sukuk daerah adalah kemampuannya untuk membantu pembiayaan defisit anggaran akibat lemahnya pendapatan asli daerah, sehingga menjadi sumber pendanaan jangka panjang yang berkelanjutan. Selain itu, penerbitan sukuk juga dapat mempercepat pembangunan daerah dan mendorong transparansi serta akuntabilitas keuangan daerah, karena pemerintah daerah wajib mematuhi seluruh peraturan yang berlaku</w:t>
      </w:r>
      <w:r w:rsidR="005B4BA7" w:rsidRPr="00DA73DB">
        <w:rPr>
          <w:rFonts w:ascii="Palatino Linotype" w:hAnsi="Palatino Linotype"/>
        </w:rPr>
        <w:t>.</w:t>
      </w:r>
      <w:r w:rsidR="005B4BA7" w:rsidRPr="00DA73DB">
        <w:rPr>
          <w:rStyle w:val="FootnoteReference"/>
          <w:rFonts w:ascii="Palatino Linotype" w:hAnsi="Palatino Linotype"/>
        </w:rPr>
        <w:footnoteReference w:id="28"/>
      </w:r>
      <w:r w:rsidR="00B33DC4" w:rsidRPr="00DA73DB">
        <w:rPr>
          <w:rFonts w:ascii="Palatino Linotype" w:hAnsi="Palatino Linotype"/>
        </w:rPr>
        <w:t xml:space="preserve"> </w:t>
      </w:r>
    </w:p>
    <w:p w14:paraId="46A56AE4" w14:textId="0632B58E" w:rsidR="005203C5" w:rsidRPr="00DA73DB" w:rsidRDefault="00312873" w:rsidP="008C0CB8">
      <w:pPr>
        <w:spacing w:after="0" w:line="240" w:lineRule="auto"/>
        <w:ind w:firstLine="340"/>
        <w:jc w:val="both"/>
        <w:rPr>
          <w:rFonts w:ascii="Palatino Linotype" w:hAnsi="Palatino Linotype"/>
          <w:lang w:val="nl-NL"/>
        </w:rPr>
      </w:pPr>
      <w:r w:rsidRPr="00DA73DB">
        <w:rPr>
          <w:rFonts w:ascii="Palatino Linotype" w:hAnsi="Palatino Linotype"/>
        </w:rPr>
        <w:t xml:space="preserve">Dalam penerbitan sukuk daerah, pihak-pihak yang terlibat secara umum serupa dengan penerbitan sukuk negara maupun korporasi. Terdapat tiga pihak utama: pertama, </w:t>
      </w:r>
      <w:r w:rsidRPr="00DA73DB">
        <w:rPr>
          <w:rFonts w:ascii="Palatino Linotype" w:hAnsi="Palatino Linotype"/>
          <w:i/>
        </w:rPr>
        <w:t>originator</w:t>
      </w:r>
      <w:r w:rsidRPr="00DA73DB">
        <w:rPr>
          <w:rFonts w:ascii="Palatino Linotype" w:hAnsi="Palatino Linotype"/>
        </w:rPr>
        <w:t xml:space="preserve"> sebagai pihak yang mengajukan penawaran untuk pembiayaan. </w:t>
      </w:r>
      <w:r w:rsidRPr="00DA73DB">
        <w:rPr>
          <w:rFonts w:ascii="Palatino Linotype" w:hAnsi="Palatino Linotype"/>
          <w:lang w:val="nl-NL"/>
        </w:rPr>
        <w:t>Kedua, SPV yang mengelola dan menerbitkan sukuk. Ketiga, investor sebagai pemegang sukuk</w:t>
      </w:r>
      <w:r w:rsidR="00912AB1" w:rsidRPr="00DA73DB">
        <w:rPr>
          <w:rFonts w:ascii="Palatino Linotype" w:hAnsi="Palatino Linotype"/>
          <w:lang w:val="nl-NL"/>
        </w:rPr>
        <w:t>. Namun dalam hal sukuk daerah terdapat beberapa perbedaan karena lingkup wilayah yang berbeda</w:t>
      </w:r>
      <w:r w:rsidR="005203C5" w:rsidRPr="00DA73DB">
        <w:rPr>
          <w:rFonts w:ascii="Palatino Linotype" w:hAnsi="Palatino Linotype"/>
          <w:lang w:val="nl-NL"/>
        </w:rPr>
        <w:t>, adapun pihak-pihak dalam penerbitan sukuk daerah adalah sebagai berikut:</w:t>
      </w:r>
    </w:p>
    <w:p w14:paraId="534149C0" w14:textId="3415032C" w:rsidR="00534696" w:rsidRPr="00DA73DB" w:rsidRDefault="00FC4B9F" w:rsidP="00F2777A">
      <w:pPr>
        <w:pStyle w:val="ListParagraph"/>
        <w:numPr>
          <w:ilvl w:val="0"/>
          <w:numId w:val="9"/>
        </w:numPr>
        <w:ind w:left="709"/>
        <w:jc w:val="both"/>
        <w:rPr>
          <w:rFonts w:ascii="Palatino Linotype" w:hAnsi="Palatino Linotype"/>
          <w:lang w:val="nl-NL"/>
        </w:rPr>
      </w:pPr>
      <w:r w:rsidRPr="00DA73DB">
        <w:rPr>
          <w:rFonts w:ascii="Palatino Linotype" w:hAnsi="Palatino Linotype"/>
          <w:lang w:val="nl-NL"/>
        </w:rPr>
        <w:t xml:space="preserve">Pemerintah daerah sebagai </w:t>
      </w:r>
      <w:r w:rsidRPr="00DA73DB">
        <w:rPr>
          <w:rFonts w:ascii="Palatino Linotype" w:hAnsi="Palatino Linotype"/>
          <w:i/>
          <w:lang w:val="nl-NL"/>
        </w:rPr>
        <w:t>originator</w:t>
      </w:r>
      <w:r w:rsidRPr="00DA73DB">
        <w:rPr>
          <w:rFonts w:ascii="Palatino Linotype" w:hAnsi="Palatino Linotype"/>
          <w:lang w:val="nl-NL"/>
        </w:rPr>
        <w:t xml:space="preserve"> yang </w:t>
      </w:r>
      <w:r w:rsidR="00140ABC" w:rsidRPr="00DA73DB">
        <w:rPr>
          <w:rFonts w:ascii="Palatino Linotype" w:hAnsi="Palatino Linotype"/>
          <w:lang w:val="nl-NL"/>
        </w:rPr>
        <w:t>bermaksud untuk meningkatkan modal untuk kepentingan bisnis dengan instrumen sukuk dalam memperoleh pembiayaan</w:t>
      </w:r>
      <w:r w:rsidR="006D5453" w:rsidRPr="00DA73DB">
        <w:rPr>
          <w:rFonts w:ascii="Palatino Linotype" w:hAnsi="Palatino Linotype"/>
          <w:lang w:val="nl-NL"/>
        </w:rPr>
        <w:t>.</w:t>
      </w:r>
      <w:r w:rsidR="00593912" w:rsidRPr="00DA73DB">
        <w:rPr>
          <w:rStyle w:val="FootnoteReference"/>
          <w:rFonts w:ascii="Palatino Linotype" w:hAnsi="Palatino Linotype"/>
        </w:rPr>
        <w:footnoteReference w:id="29"/>
      </w:r>
    </w:p>
    <w:p w14:paraId="1A098A67" w14:textId="179B5DA0" w:rsidR="00F56007" w:rsidRPr="00DA73DB" w:rsidRDefault="00F56007" w:rsidP="00F2777A">
      <w:pPr>
        <w:pStyle w:val="ListParagraph"/>
        <w:numPr>
          <w:ilvl w:val="0"/>
          <w:numId w:val="9"/>
        </w:numPr>
        <w:ind w:left="709"/>
        <w:jc w:val="both"/>
        <w:rPr>
          <w:rFonts w:ascii="Palatino Linotype" w:hAnsi="Palatino Linotype"/>
          <w:lang w:val="nl-NL"/>
        </w:rPr>
      </w:pPr>
      <w:r w:rsidRPr="00DA73DB">
        <w:rPr>
          <w:rFonts w:ascii="Palatino Linotype" w:hAnsi="Palatino Linotype"/>
          <w:lang w:val="nl-NL"/>
        </w:rPr>
        <w:t xml:space="preserve">Masyarakat sebagai investor yang menanamkan modalnya dalam rangka pembiayaan pembangunan aset atau infrastruktur di atas </w:t>
      </w:r>
      <w:r w:rsidRPr="00DA73DB">
        <w:rPr>
          <w:rFonts w:ascii="Palatino Linotype" w:hAnsi="Palatino Linotype"/>
          <w:i/>
          <w:lang w:val="nl-NL"/>
        </w:rPr>
        <w:t xml:space="preserve">underlying asset </w:t>
      </w:r>
      <w:r w:rsidRPr="00DA73DB">
        <w:rPr>
          <w:rFonts w:ascii="Palatino Linotype" w:hAnsi="Palatino Linotype"/>
          <w:lang w:val="nl-NL"/>
        </w:rPr>
        <w:t>milik pemerintah daerah</w:t>
      </w:r>
      <w:r w:rsidR="00C61E94" w:rsidRPr="00DA73DB">
        <w:rPr>
          <w:rFonts w:ascii="Palatino Linotype" w:hAnsi="Palatino Linotype"/>
          <w:lang w:val="nl-NL"/>
        </w:rPr>
        <w:t xml:space="preserve"> dan keuntungan yang diperoleh adalah imbalan berupa dana sewa apabila menggunakan akad ijarah</w:t>
      </w:r>
      <w:r w:rsidR="00DB4D5C" w:rsidRPr="00DA73DB">
        <w:rPr>
          <w:rFonts w:ascii="Palatino Linotype" w:hAnsi="Palatino Linotype"/>
          <w:lang w:val="nl-NL"/>
        </w:rPr>
        <w:t>.</w:t>
      </w:r>
      <w:r w:rsidR="00E94BFE" w:rsidRPr="00DA73DB">
        <w:rPr>
          <w:rStyle w:val="FootnoteReference"/>
          <w:rFonts w:ascii="Palatino Linotype" w:hAnsi="Palatino Linotype"/>
        </w:rPr>
        <w:footnoteReference w:id="30"/>
      </w:r>
    </w:p>
    <w:p w14:paraId="3C93E67D" w14:textId="5C5C3C3B" w:rsidR="006D5453" w:rsidRPr="00DA73DB" w:rsidRDefault="00DB4D5C" w:rsidP="00F2777A">
      <w:pPr>
        <w:pStyle w:val="ListParagraph"/>
        <w:numPr>
          <w:ilvl w:val="0"/>
          <w:numId w:val="9"/>
        </w:numPr>
        <w:ind w:left="709"/>
        <w:jc w:val="both"/>
        <w:rPr>
          <w:rFonts w:ascii="Palatino Linotype" w:hAnsi="Palatino Linotype"/>
          <w:lang w:val="nl-NL"/>
        </w:rPr>
      </w:pPr>
      <w:r w:rsidRPr="00DA73DB">
        <w:rPr>
          <w:rFonts w:ascii="Palatino Linotype" w:hAnsi="Palatino Linotype"/>
          <w:lang w:val="nl-NL"/>
        </w:rPr>
        <w:t>SPV sebagai</w:t>
      </w:r>
      <w:r w:rsidR="00464763" w:rsidRPr="00DA73DB">
        <w:rPr>
          <w:rFonts w:ascii="Palatino Linotype" w:hAnsi="Palatino Linotype"/>
          <w:lang w:val="nl-NL"/>
        </w:rPr>
        <w:t xml:space="preserve"> pihak ketiga yang menerima penjualan aset sukuk dari </w:t>
      </w:r>
      <w:r w:rsidR="00464763" w:rsidRPr="00DA73DB">
        <w:rPr>
          <w:rFonts w:ascii="Palatino Linotype" w:hAnsi="Palatino Linotype"/>
          <w:i/>
          <w:lang w:val="nl-NL"/>
        </w:rPr>
        <w:t>originator</w:t>
      </w:r>
      <w:r w:rsidR="00464763" w:rsidRPr="00DA73DB">
        <w:rPr>
          <w:rFonts w:ascii="Palatino Linotype" w:hAnsi="Palatino Linotype"/>
          <w:lang w:val="nl-NL"/>
        </w:rPr>
        <w:t xml:space="preserve"> sebelum sukuk diterbitkan dan dibeli oleh investor</w:t>
      </w:r>
      <w:r w:rsidR="00144B45" w:rsidRPr="00DA73DB">
        <w:rPr>
          <w:rFonts w:ascii="Palatino Linotype" w:hAnsi="Palatino Linotype"/>
          <w:lang w:val="nl-NL"/>
        </w:rPr>
        <w:t>.</w:t>
      </w:r>
    </w:p>
    <w:p w14:paraId="0DCFD742" w14:textId="0DFD23CA" w:rsidR="00144B45" w:rsidRPr="00DA73DB" w:rsidRDefault="00144B45" w:rsidP="00F2777A">
      <w:pPr>
        <w:pStyle w:val="ListParagraph"/>
        <w:numPr>
          <w:ilvl w:val="0"/>
          <w:numId w:val="9"/>
        </w:numPr>
        <w:ind w:left="709"/>
        <w:jc w:val="both"/>
        <w:rPr>
          <w:rFonts w:ascii="Palatino Linotype" w:hAnsi="Palatino Linotype"/>
          <w:lang w:val="nl-NL"/>
        </w:rPr>
      </w:pPr>
      <w:r w:rsidRPr="00DA73DB">
        <w:rPr>
          <w:rFonts w:ascii="Palatino Linotype" w:hAnsi="Palatino Linotype"/>
          <w:lang w:val="nl-NL"/>
        </w:rPr>
        <w:t>Dewan Perwakilan Rakyat Daerah</w:t>
      </w:r>
      <w:r w:rsidR="00177B52" w:rsidRPr="00DA73DB">
        <w:rPr>
          <w:rFonts w:ascii="Palatino Linotype" w:hAnsi="Palatino Linotype"/>
          <w:lang w:val="nl-NL"/>
        </w:rPr>
        <w:t xml:space="preserve"> </w:t>
      </w:r>
      <w:r w:rsidRPr="00DA73DB">
        <w:rPr>
          <w:rFonts w:ascii="Palatino Linotype" w:hAnsi="Palatino Linotype"/>
          <w:lang w:val="nl-NL"/>
        </w:rPr>
        <w:t>(“</w:t>
      </w:r>
      <w:r w:rsidRPr="00DA73DB">
        <w:rPr>
          <w:rFonts w:ascii="Palatino Linotype" w:hAnsi="Palatino Linotype"/>
          <w:b/>
          <w:lang w:val="nl-NL"/>
        </w:rPr>
        <w:t>DPRD</w:t>
      </w:r>
      <w:r w:rsidRPr="00DA73DB">
        <w:rPr>
          <w:rFonts w:ascii="Palatino Linotype" w:hAnsi="Palatino Linotype"/>
          <w:lang w:val="nl-NL"/>
        </w:rPr>
        <w:t>”)</w:t>
      </w:r>
      <w:r w:rsidR="005639BD" w:rsidRPr="00DA73DB">
        <w:rPr>
          <w:rFonts w:ascii="Palatino Linotype" w:hAnsi="Palatino Linotype"/>
          <w:lang w:val="nl-NL"/>
        </w:rPr>
        <w:t xml:space="preserve"> sebagai </w:t>
      </w:r>
      <w:r w:rsidR="007877DD" w:rsidRPr="00DA73DB">
        <w:rPr>
          <w:rFonts w:ascii="Palatino Linotype" w:hAnsi="Palatino Linotype"/>
          <w:lang w:val="nl-NL"/>
        </w:rPr>
        <w:t>perwakilan masyarakat yang memberikan persetujuan penerbitan sukuk daerah.</w:t>
      </w:r>
    </w:p>
    <w:p w14:paraId="6DED5563" w14:textId="430AFEBC" w:rsidR="007877DD" w:rsidRPr="00DA73DB" w:rsidRDefault="00C32BF0" w:rsidP="005203C5">
      <w:pPr>
        <w:pStyle w:val="ListParagraph"/>
        <w:numPr>
          <w:ilvl w:val="0"/>
          <w:numId w:val="9"/>
        </w:numPr>
        <w:jc w:val="both"/>
        <w:rPr>
          <w:rFonts w:ascii="Palatino Linotype" w:hAnsi="Palatino Linotype"/>
          <w:lang w:val="nl-NL"/>
        </w:rPr>
      </w:pPr>
      <w:r w:rsidRPr="00DA73DB">
        <w:rPr>
          <w:rFonts w:ascii="Palatino Linotype" w:hAnsi="Palatino Linotype"/>
          <w:lang w:val="nl-NL"/>
        </w:rPr>
        <w:t xml:space="preserve">Kliring dan Penjaminan Efek Indonesia </w:t>
      </w:r>
      <w:r w:rsidR="00AA3D29" w:rsidRPr="00DA73DB">
        <w:rPr>
          <w:rFonts w:ascii="Palatino Linotype" w:hAnsi="Palatino Linotype"/>
          <w:lang w:val="nl-NL"/>
        </w:rPr>
        <w:t xml:space="preserve">sebagai </w:t>
      </w:r>
      <w:r w:rsidR="004C74EE" w:rsidRPr="00DA73DB">
        <w:rPr>
          <w:rFonts w:ascii="Palatino Linotype" w:hAnsi="Palatino Linotype"/>
          <w:lang w:val="nl-NL"/>
        </w:rPr>
        <w:t>lembaga yang menyelesaikan hak-hak dan kewajiban yang timbul dari transaksi bursa efek dan melaksanakan proses kliring terhadap efek yang diperdagangkan</w:t>
      </w:r>
      <w:r w:rsidR="00177B52" w:rsidRPr="00DA73DB">
        <w:rPr>
          <w:rFonts w:ascii="Palatino Linotype" w:hAnsi="Palatino Linotype"/>
          <w:lang w:val="nl-NL"/>
        </w:rPr>
        <w:t>.</w:t>
      </w:r>
    </w:p>
    <w:p w14:paraId="53DF228F" w14:textId="60C223D0" w:rsidR="00177B52" w:rsidRPr="00DA73DB" w:rsidRDefault="00177B52" w:rsidP="005203C5">
      <w:pPr>
        <w:pStyle w:val="ListParagraph"/>
        <w:numPr>
          <w:ilvl w:val="0"/>
          <w:numId w:val="9"/>
        </w:numPr>
        <w:jc w:val="both"/>
        <w:rPr>
          <w:rFonts w:ascii="Palatino Linotype" w:hAnsi="Palatino Linotype"/>
          <w:lang w:val="nl-NL"/>
        </w:rPr>
      </w:pPr>
      <w:r w:rsidRPr="00DA73DB">
        <w:rPr>
          <w:rFonts w:ascii="Palatino Linotype" w:hAnsi="Palatino Linotype"/>
          <w:lang w:val="nl-NL"/>
        </w:rPr>
        <w:t>Dewan Pengawas Syariah (“</w:t>
      </w:r>
      <w:r w:rsidRPr="00DA73DB">
        <w:rPr>
          <w:rFonts w:ascii="Palatino Linotype" w:hAnsi="Palatino Linotype"/>
          <w:b/>
          <w:lang w:val="nl-NL"/>
        </w:rPr>
        <w:t>DPS</w:t>
      </w:r>
      <w:r w:rsidRPr="00DA73DB">
        <w:rPr>
          <w:rFonts w:ascii="Palatino Linotype" w:hAnsi="Palatino Linotype"/>
          <w:lang w:val="nl-NL"/>
        </w:rPr>
        <w:t>”)</w:t>
      </w:r>
      <w:r w:rsidR="00255466" w:rsidRPr="00DA73DB">
        <w:rPr>
          <w:rFonts w:ascii="Palatino Linotype" w:hAnsi="Palatino Linotype"/>
          <w:lang w:val="nl-NL"/>
        </w:rPr>
        <w:t xml:space="preserve"> sebagai </w:t>
      </w:r>
      <w:r w:rsidR="00737281" w:rsidRPr="00DA73DB">
        <w:rPr>
          <w:rFonts w:ascii="Palatino Linotype" w:hAnsi="Palatino Linotype"/>
          <w:lang w:val="nl-NL"/>
        </w:rPr>
        <w:t xml:space="preserve">dewan yang memberikan </w:t>
      </w:r>
      <w:r w:rsidR="006A31E1" w:rsidRPr="00DA73DB">
        <w:rPr>
          <w:rFonts w:ascii="Palatino Linotype" w:hAnsi="Palatino Linotype"/>
          <w:lang w:val="nl-NL"/>
        </w:rPr>
        <w:t>pernyataan kesesuaian syariah atas sukuk yang ingin diterbitkan tersebut.</w:t>
      </w:r>
      <w:r w:rsidR="00345703" w:rsidRPr="00DA73DB">
        <w:rPr>
          <w:rStyle w:val="FootnoteReference"/>
          <w:rFonts w:ascii="Palatino Linotype" w:hAnsi="Palatino Linotype"/>
        </w:rPr>
        <w:footnoteReference w:id="31"/>
      </w:r>
    </w:p>
    <w:p w14:paraId="6CA5DF65" w14:textId="626BBDDC" w:rsidR="008F3303" w:rsidRPr="00DA73DB" w:rsidRDefault="00567954" w:rsidP="005203C5">
      <w:pPr>
        <w:pStyle w:val="ListParagraph"/>
        <w:numPr>
          <w:ilvl w:val="0"/>
          <w:numId w:val="9"/>
        </w:numPr>
        <w:jc w:val="both"/>
        <w:rPr>
          <w:rFonts w:ascii="Palatino Linotype" w:hAnsi="Palatino Linotype"/>
        </w:rPr>
      </w:pPr>
      <w:r w:rsidRPr="00DA73DB">
        <w:rPr>
          <w:rFonts w:ascii="Palatino Linotype" w:hAnsi="Palatino Linotype"/>
        </w:rPr>
        <w:t>Profesi penunjang pasar modal yang memberikan nasihat berdasarkan profesi dan sesuai komp</w:t>
      </w:r>
      <w:r w:rsidR="00312873" w:rsidRPr="00DA73DB">
        <w:rPr>
          <w:rFonts w:ascii="Palatino Linotype" w:hAnsi="Palatino Linotype"/>
        </w:rPr>
        <w:t>e</w:t>
      </w:r>
      <w:r w:rsidRPr="00DA73DB">
        <w:rPr>
          <w:rFonts w:ascii="Palatino Linotype" w:hAnsi="Palatino Linotype"/>
        </w:rPr>
        <w:t>tensiny</w:t>
      </w:r>
      <w:r w:rsidR="00564E0F" w:rsidRPr="00DA73DB">
        <w:rPr>
          <w:rFonts w:ascii="Palatino Linotype" w:hAnsi="Palatino Linotype"/>
        </w:rPr>
        <w:t>a.</w:t>
      </w:r>
    </w:p>
    <w:p w14:paraId="0D28BB2B" w14:textId="58D5360F" w:rsidR="007F7623" w:rsidRPr="00DA73DB" w:rsidRDefault="00E14A2F" w:rsidP="00AC7005">
      <w:pPr>
        <w:spacing w:after="0" w:line="240" w:lineRule="auto"/>
        <w:ind w:firstLine="340"/>
        <w:jc w:val="both"/>
        <w:rPr>
          <w:rFonts w:ascii="Palatino Linotype" w:hAnsi="Palatino Linotype"/>
        </w:rPr>
      </w:pPr>
      <w:r w:rsidRPr="00DA73DB">
        <w:rPr>
          <w:rFonts w:ascii="Palatino Linotype" w:hAnsi="Palatino Linotype"/>
        </w:rPr>
        <w:t>P</w:t>
      </w:r>
      <w:r w:rsidR="0002478B" w:rsidRPr="00DA73DB">
        <w:rPr>
          <w:rFonts w:ascii="Palatino Linotype" w:hAnsi="Palatino Linotype"/>
        </w:rPr>
        <w:t xml:space="preserve">enerbitan </w:t>
      </w:r>
      <w:r w:rsidR="006D1223" w:rsidRPr="00DA73DB">
        <w:rPr>
          <w:rFonts w:ascii="Palatino Linotype" w:hAnsi="Palatino Linotype"/>
        </w:rPr>
        <w:t>s</w:t>
      </w:r>
      <w:r w:rsidR="0002478B" w:rsidRPr="00DA73DB">
        <w:rPr>
          <w:rFonts w:ascii="Palatino Linotype" w:hAnsi="Palatino Linotype"/>
        </w:rPr>
        <w:t xml:space="preserve">ukuk </w:t>
      </w:r>
      <w:r w:rsidR="006D1223" w:rsidRPr="00DA73DB">
        <w:rPr>
          <w:rFonts w:ascii="Palatino Linotype" w:hAnsi="Palatino Linotype"/>
        </w:rPr>
        <w:t>d</w:t>
      </w:r>
      <w:r w:rsidR="0002478B" w:rsidRPr="00DA73DB">
        <w:rPr>
          <w:rFonts w:ascii="Palatino Linotype" w:hAnsi="Palatino Linotype"/>
        </w:rPr>
        <w:t>aerah</w:t>
      </w:r>
      <w:r w:rsidR="00451DA1" w:rsidRPr="00DA73DB">
        <w:rPr>
          <w:rFonts w:ascii="Palatino Linotype" w:hAnsi="Palatino Linotype"/>
        </w:rPr>
        <w:t xml:space="preserve"> diatur dengan Peraturan Kepala Daerah</w:t>
      </w:r>
      <w:r w:rsidR="00EF3F6D" w:rsidRPr="00DA73DB">
        <w:rPr>
          <w:rFonts w:ascii="Palatino Linotype" w:hAnsi="Palatino Linotype"/>
        </w:rPr>
        <w:t xml:space="preserve"> dan</w:t>
      </w:r>
      <w:r w:rsidR="0002478B" w:rsidRPr="00DA73DB">
        <w:rPr>
          <w:rFonts w:ascii="Palatino Linotype" w:hAnsi="Palatino Linotype"/>
        </w:rPr>
        <w:t xml:space="preserve"> dapat </w:t>
      </w:r>
      <w:r w:rsidR="006F6D8C" w:rsidRPr="00DA73DB">
        <w:rPr>
          <w:rFonts w:ascii="Palatino Linotype" w:hAnsi="Palatino Linotype"/>
        </w:rPr>
        <w:t>digunakan</w:t>
      </w:r>
      <w:r w:rsidR="0002478B" w:rsidRPr="00DA73DB">
        <w:rPr>
          <w:rFonts w:ascii="Palatino Linotype" w:hAnsi="Palatino Linotype"/>
        </w:rPr>
        <w:t xml:space="preserve"> untuk berbagai tujuan strategis, seperti pembiayaan pembangunan infrastruktur daerah, pengelolaan portofolio utang daerah, serta penerusan pinjaman atau penyertaan modal kepada BUMD dari hasil penjualan </w:t>
      </w:r>
      <w:r w:rsidR="00E13ACE" w:rsidRPr="00DA73DB">
        <w:rPr>
          <w:rFonts w:ascii="Palatino Linotype" w:hAnsi="Palatino Linotype"/>
        </w:rPr>
        <w:t>sukuk daerah</w:t>
      </w:r>
      <w:r w:rsidR="0002478B" w:rsidRPr="00DA73DB">
        <w:rPr>
          <w:rFonts w:ascii="Palatino Linotype" w:hAnsi="Palatino Linotype"/>
        </w:rPr>
        <w:t>.</w:t>
      </w:r>
      <w:r w:rsidRPr="00DA73DB">
        <w:rPr>
          <w:rStyle w:val="FootnoteReference"/>
          <w:rFonts w:ascii="Palatino Linotype" w:hAnsi="Palatino Linotype"/>
        </w:rPr>
        <w:footnoteReference w:id="32"/>
      </w:r>
      <w:r w:rsidR="003F5B47" w:rsidRPr="00DA73DB">
        <w:rPr>
          <w:rFonts w:ascii="Palatino Linotype" w:hAnsi="Palatino Linotype"/>
        </w:rPr>
        <w:t xml:space="preserve"> </w:t>
      </w:r>
      <w:r w:rsidR="007F7623" w:rsidRPr="00DA73DB">
        <w:rPr>
          <w:rFonts w:ascii="Palatino Linotype" w:hAnsi="Palatino Linotype"/>
        </w:rPr>
        <w:t xml:space="preserve">Pemerintah daerah dapat menggunakan </w:t>
      </w:r>
      <w:r w:rsidR="00FB7E05" w:rsidRPr="00DA73DB">
        <w:rPr>
          <w:rFonts w:ascii="Palatino Linotype" w:hAnsi="Palatino Linotype"/>
        </w:rPr>
        <w:t>barang milik daerah dan/atau objek pembiayaan yang dibiayai dari sukuk daerah sebagai dasar penerbitan</w:t>
      </w:r>
      <w:r w:rsidR="009264E1" w:rsidRPr="00DA73DB">
        <w:rPr>
          <w:rFonts w:ascii="Palatino Linotype" w:hAnsi="Palatino Linotype"/>
        </w:rPr>
        <w:t>.</w:t>
      </w:r>
      <w:r w:rsidR="009264E1" w:rsidRPr="00DA73DB">
        <w:rPr>
          <w:rStyle w:val="FootnoteReference"/>
          <w:rFonts w:ascii="Palatino Linotype" w:hAnsi="Palatino Linotype"/>
        </w:rPr>
        <w:footnoteReference w:id="33"/>
      </w:r>
    </w:p>
    <w:p w14:paraId="1BB04640" w14:textId="3C0B00C1" w:rsidR="003F5B47" w:rsidRPr="00DA73DB" w:rsidRDefault="0052772A" w:rsidP="00AC7005">
      <w:pPr>
        <w:spacing w:after="0" w:line="240" w:lineRule="auto"/>
        <w:ind w:firstLine="340"/>
        <w:jc w:val="both"/>
        <w:rPr>
          <w:rFonts w:ascii="Palatino Linotype" w:hAnsi="Palatino Linotype"/>
        </w:rPr>
      </w:pPr>
      <w:r w:rsidRPr="00DA73DB">
        <w:rPr>
          <w:rFonts w:ascii="Palatino Linotype" w:hAnsi="Palatino Linotype"/>
        </w:rPr>
        <w:t>Untuk melaksanakan penerbitan Sukuk Daerah, Kepala Daerah harus mengajukan rencana penerbitan kepada Menteri Keuangan dan Menteri Dalam Negeri</w:t>
      </w:r>
      <w:r w:rsidR="003F5B47" w:rsidRPr="00DA73DB">
        <w:rPr>
          <w:rFonts w:ascii="Palatino Linotype" w:hAnsi="Palatino Linotype"/>
        </w:rPr>
        <w:t xml:space="preserve">, dengan melampirkan dokumen: </w:t>
      </w:r>
    </w:p>
    <w:p w14:paraId="5612D490" w14:textId="77777777" w:rsidR="003F5B47" w:rsidRPr="00DA73DB" w:rsidRDefault="003F5B47" w:rsidP="003F5B47">
      <w:pPr>
        <w:pStyle w:val="ListParagraph"/>
        <w:numPr>
          <w:ilvl w:val="0"/>
          <w:numId w:val="10"/>
        </w:numPr>
        <w:jc w:val="both"/>
        <w:rPr>
          <w:rFonts w:ascii="Palatino Linotype" w:hAnsi="Palatino Linotype"/>
        </w:rPr>
      </w:pPr>
      <w:r w:rsidRPr="00DA73DB">
        <w:rPr>
          <w:rFonts w:ascii="Palatino Linotype" w:hAnsi="Palatino Linotype"/>
        </w:rPr>
        <w:t xml:space="preserve">salinan berita acara pelantikan Kepala Daerah; </w:t>
      </w:r>
    </w:p>
    <w:p w14:paraId="70071B66" w14:textId="77777777" w:rsidR="003F5B47" w:rsidRPr="00DA73DB" w:rsidRDefault="003F5B47" w:rsidP="003F5B47">
      <w:pPr>
        <w:pStyle w:val="ListParagraph"/>
        <w:numPr>
          <w:ilvl w:val="0"/>
          <w:numId w:val="10"/>
        </w:numPr>
        <w:jc w:val="both"/>
        <w:rPr>
          <w:rFonts w:ascii="Palatino Linotype" w:hAnsi="Palatino Linotype"/>
        </w:rPr>
      </w:pPr>
      <w:r w:rsidRPr="00DA73DB">
        <w:rPr>
          <w:rFonts w:ascii="Palatino Linotype" w:hAnsi="Palatino Linotype"/>
        </w:rPr>
        <w:t xml:space="preserve">kerangka acuan kegiatan yang telah mendapatkan reviu dari aparat pengawas intern pemerintah daerah; </w:t>
      </w:r>
    </w:p>
    <w:p w14:paraId="36BDA3EB" w14:textId="24463388" w:rsidR="003F5B47" w:rsidRPr="00DA73DB" w:rsidRDefault="003F5B47" w:rsidP="003F5B47">
      <w:pPr>
        <w:pStyle w:val="ListParagraph"/>
        <w:numPr>
          <w:ilvl w:val="0"/>
          <w:numId w:val="10"/>
        </w:numPr>
        <w:jc w:val="both"/>
        <w:rPr>
          <w:rFonts w:ascii="Palatino Linotype" w:hAnsi="Palatino Linotype"/>
          <w:lang w:val="nl-NL"/>
        </w:rPr>
      </w:pPr>
      <w:r w:rsidRPr="00DA73DB">
        <w:rPr>
          <w:rFonts w:ascii="Palatino Linotype" w:hAnsi="Palatino Linotype"/>
          <w:lang w:val="nl-NL"/>
        </w:rPr>
        <w:t xml:space="preserve">Rencana Pembangunan Jangka Menengah Daerah periode berkenaan; </w:t>
      </w:r>
    </w:p>
    <w:p w14:paraId="72325CB0" w14:textId="77777777" w:rsidR="003F5B47" w:rsidRPr="00DA73DB" w:rsidRDefault="003F5B47" w:rsidP="003F5B47">
      <w:pPr>
        <w:pStyle w:val="ListParagraph"/>
        <w:numPr>
          <w:ilvl w:val="0"/>
          <w:numId w:val="10"/>
        </w:numPr>
        <w:jc w:val="both"/>
        <w:rPr>
          <w:rFonts w:ascii="Palatino Linotype" w:hAnsi="Palatino Linotype"/>
          <w:lang w:val="nl-NL"/>
        </w:rPr>
      </w:pPr>
      <w:r w:rsidRPr="00DA73DB">
        <w:rPr>
          <w:rFonts w:ascii="Palatino Linotype" w:hAnsi="Palatino Linotype"/>
          <w:lang w:val="nl-NL"/>
        </w:rPr>
        <w:t xml:space="preserve">Rencana Pembangunan Tahunan Daerah tahun berkenaan </w:t>
      </w:r>
    </w:p>
    <w:p w14:paraId="2B0DAAC3" w14:textId="77777777" w:rsidR="003F5B47" w:rsidRPr="00DA73DB" w:rsidRDefault="003F5B47" w:rsidP="003F5B47">
      <w:pPr>
        <w:pStyle w:val="ListParagraph"/>
        <w:numPr>
          <w:ilvl w:val="0"/>
          <w:numId w:val="10"/>
        </w:numPr>
        <w:jc w:val="both"/>
        <w:rPr>
          <w:rFonts w:ascii="Palatino Linotype" w:hAnsi="Palatino Linotype"/>
          <w:lang w:val="nl-NL"/>
        </w:rPr>
      </w:pPr>
      <w:r w:rsidRPr="00DA73DB">
        <w:rPr>
          <w:rFonts w:ascii="Palatino Linotype" w:hAnsi="Palatino Linotype"/>
          <w:lang w:val="nl-NL"/>
        </w:rPr>
        <w:t xml:space="preserve">laporan keuangan Pemerintah Daerah selama 3 (tiga) tahun terakhir yang telah diaudit Badan Pemeriksa Keuangan; </w:t>
      </w:r>
    </w:p>
    <w:p w14:paraId="45CA0B33" w14:textId="77777777" w:rsidR="003F5B47" w:rsidRPr="00DA73DB" w:rsidRDefault="003F5B47" w:rsidP="003F5B47">
      <w:pPr>
        <w:pStyle w:val="ListParagraph"/>
        <w:numPr>
          <w:ilvl w:val="0"/>
          <w:numId w:val="10"/>
        </w:numPr>
        <w:jc w:val="both"/>
        <w:rPr>
          <w:rFonts w:ascii="Palatino Linotype" w:hAnsi="Palatino Linotype"/>
        </w:rPr>
      </w:pPr>
      <w:r w:rsidRPr="00DA73DB">
        <w:rPr>
          <w:rFonts w:ascii="Palatino Linotype" w:hAnsi="Palatino Linotype"/>
        </w:rPr>
        <w:t xml:space="preserve">APBD tahun anggaran berjalan; dan </w:t>
      </w:r>
    </w:p>
    <w:p w14:paraId="1E134D41" w14:textId="06ED283A" w:rsidR="006E42E2" w:rsidRPr="00DA73DB" w:rsidRDefault="003F5B47" w:rsidP="003F5B47">
      <w:pPr>
        <w:pStyle w:val="ListParagraph"/>
        <w:numPr>
          <w:ilvl w:val="0"/>
          <w:numId w:val="10"/>
        </w:numPr>
        <w:jc w:val="both"/>
        <w:rPr>
          <w:rFonts w:ascii="Palatino Linotype" w:hAnsi="Palatino Linotype"/>
          <w:lang w:val="nl-NL"/>
        </w:rPr>
      </w:pPr>
      <w:r w:rsidRPr="00DA73DB">
        <w:rPr>
          <w:rFonts w:ascii="Palatino Linotype" w:hAnsi="Palatino Linotype"/>
          <w:lang w:val="nl-NL"/>
        </w:rPr>
        <w:t>rancangan Perda tentang APBD tahun berkenaan.</w:t>
      </w:r>
      <w:r w:rsidRPr="00DA73DB">
        <w:rPr>
          <w:rStyle w:val="FootnoteReference"/>
          <w:rFonts w:ascii="Palatino Linotype" w:hAnsi="Palatino Linotype"/>
        </w:rPr>
        <w:footnoteReference w:id="34"/>
      </w:r>
      <w:r w:rsidRPr="00DA73DB">
        <w:rPr>
          <w:rFonts w:ascii="Palatino Linotype" w:hAnsi="Palatino Linotype"/>
          <w:lang w:val="nl-NL"/>
        </w:rPr>
        <w:t xml:space="preserve"> </w:t>
      </w:r>
    </w:p>
    <w:p w14:paraId="117D5C10" w14:textId="575D0821" w:rsidR="001C231C" w:rsidRPr="00DA73DB" w:rsidRDefault="00233796" w:rsidP="00AC7005">
      <w:pPr>
        <w:spacing w:after="0" w:line="240" w:lineRule="auto"/>
        <w:ind w:firstLine="340"/>
        <w:jc w:val="both"/>
        <w:rPr>
          <w:rFonts w:ascii="Palatino Linotype" w:hAnsi="Palatino Linotype"/>
          <w:lang w:val="nl-NL"/>
        </w:rPr>
      </w:pPr>
      <w:r w:rsidRPr="00DA73DB">
        <w:rPr>
          <w:rFonts w:ascii="Palatino Linotype" w:hAnsi="Palatino Linotype"/>
          <w:lang w:val="nl-NL"/>
        </w:rPr>
        <w:t>Menteri Keuangan dapat memberikan persetujuan penerbitan Sukuk Daerah setelah mempertimbangkan rekomendasi dari Menteri Dalam Negeri. Dalam proses ini, Menteri Dalam Negeri atau pejabat yang ditunjuk akan menerbitkan tanda bukti penerimaan dokumen kepada kepala daerah sebagai bukti bahwa dokumen telah diterima dengan lengkap. Pertimbangan dari Menteri Dalam Negeri harus diberikan dalam jangka waktu paling lambat 15 hari kerja sejak tanda bukti penerimaan dokumen diterbitkan. Jika dalam kurun waktu tersebut Menteri Dalam Negeri belum memberikan pertimbangannya, maka rencana penerbitan Sukuk Daerah dianggap telah memenuhi kriteria penilaian yang ditetapkan. Setelah itu, surat pertimbangan dari Menteri Dalam Negeri akan disampaikan kepada kepala daerah dan ditembuskan kepada Menteri Keuangan. Menteri Keuangan akan memberikan persetujuannya paling lambat 15 hari kerja setelah menerima tembusan surat pertimbangan dari Menteri Dalam Negeri, atau sejak berakhirnya batas waktu pemberian pertimbangan oleh Menteri Dalam Negeri.</w:t>
      </w:r>
      <w:r w:rsidR="004124FB" w:rsidRPr="00DA73DB">
        <w:rPr>
          <w:rFonts w:ascii="Palatino Linotype" w:hAnsi="Palatino Linotype"/>
          <w:lang w:val="nl-NL"/>
        </w:rPr>
        <w:t xml:space="preserve"> Setelah memperoleh persetujuan Menteri Keuangan,</w:t>
      </w:r>
      <w:r w:rsidR="00863621" w:rsidRPr="00DA73DB">
        <w:rPr>
          <w:rFonts w:ascii="Palatino Linotype" w:hAnsi="Palatino Linotype"/>
          <w:lang w:val="nl-NL"/>
        </w:rPr>
        <w:t xml:space="preserve"> Pemerintah melalui Perseroda dapat menyampaikan dokumen pernyataan pendaftaran penawaran umum sukuk daerah kepada OJK.</w:t>
      </w:r>
      <w:r w:rsidR="00863621" w:rsidRPr="00DA73DB">
        <w:rPr>
          <w:rStyle w:val="FootnoteReference"/>
          <w:rFonts w:ascii="Palatino Linotype" w:hAnsi="Palatino Linotype"/>
        </w:rPr>
        <w:footnoteReference w:id="35"/>
      </w:r>
    </w:p>
    <w:p w14:paraId="58F951E3" w14:textId="0ED155B5" w:rsidR="00DC06A1" w:rsidRPr="00DA73DB" w:rsidRDefault="00A63987" w:rsidP="00AC7005">
      <w:pPr>
        <w:spacing w:after="0" w:line="240" w:lineRule="auto"/>
        <w:ind w:firstLine="340"/>
        <w:jc w:val="both"/>
        <w:rPr>
          <w:rFonts w:ascii="Palatino Linotype" w:hAnsi="Palatino Linotype"/>
        </w:rPr>
      </w:pPr>
      <w:r w:rsidRPr="00DA73DB">
        <w:rPr>
          <w:rFonts w:ascii="Palatino Linotype" w:hAnsi="Palatino Linotype"/>
          <w:lang w:val="nl-NL"/>
        </w:rPr>
        <w:t>Pemerintah Provinsi DKI Jakarta melalui BUMD PT Jakarta Propertindo (Jakpro), yang berbentuk Perseroda, telah ditugaskan untuk menyelenggarakan proyek strategis nasional seperti pembangunan Light Rail Transit (LRT).</w:t>
      </w:r>
      <w:r w:rsidR="002320C2" w:rsidRPr="00DA73DB">
        <w:rPr>
          <w:rStyle w:val="FootnoteReference"/>
          <w:rFonts w:ascii="Palatino Linotype" w:hAnsi="Palatino Linotype"/>
        </w:rPr>
        <w:footnoteReference w:id="36"/>
      </w:r>
      <w:r w:rsidRPr="00DA73DB">
        <w:rPr>
          <w:rFonts w:ascii="Palatino Linotype" w:hAnsi="Palatino Linotype"/>
          <w:lang w:val="nl-NL"/>
        </w:rPr>
        <w:t xml:space="preserve"> </w:t>
      </w:r>
      <w:r w:rsidR="004968EC" w:rsidRPr="00DA73DB">
        <w:rPr>
          <w:rFonts w:ascii="Palatino Linotype" w:hAnsi="Palatino Linotype"/>
          <w:lang w:val="nl-NL"/>
        </w:rPr>
        <w:t xml:space="preserve">Sebagai langkah inovatif dalam pembiayaan, Pemerintah Provinsi DKI Jakarta dapat mempertimbangkan penerbitan sukuk daerah sebagai alternatif sumber pendanaan proyek strategis seperti pembangunan LRT. Sukuk daerah menawarkan berbagai keuntungan, termasuk meningkatkan partisipasi masyarakat lokal sebagai investor, mendorong transparansi dalam pengelolaan anggaran, serta menciptakan solusi pembiayaan yang berkelanjutan. Dengan menggunakan mekanisme sukuk, pemerintah daerah dapat memanfaatkan barang milik daerah sebagai </w:t>
      </w:r>
      <w:r w:rsidR="004968EC" w:rsidRPr="00DA73DB">
        <w:rPr>
          <w:rFonts w:ascii="Palatino Linotype" w:hAnsi="Palatino Linotype"/>
          <w:i/>
          <w:lang w:val="nl-NL"/>
        </w:rPr>
        <w:t>underlying</w:t>
      </w:r>
      <w:r w:rsidR="004968EC" w:rsidRPr="00DA73DB">
        <w:rPr>
          <w:rFonts w:ascii="Palatino Linotype" w:hAnsi="Palatino Linotype"/>
          <w:lang w:val="nl-NL"/>
        </w:rPr>
        <w:t xml:space="preserve"> </w:t>
      </w:r>
      <w:r w:rsidR="004968EC" w:rsidRPr="00DA73DB">
        <w:rPr>
          <w:rFonts w:ascii="Palatino Linotype" w:hAnsi="Palatino Linotype"/>
          <w:i/>
          <w:lang w:val="nl-NL"/>
        </w:rPr>
        <w:t>asset</w:t>
      </w:r>
      <w:r w:rsidR="004968EC" w:rsidRPr="00DA73DB">
        <w:rPr>
          <w:rFonts w:ascii="Palatino Linotype" w:hAnsi="Palatino Linotype"/>
          <w:lang w:val="nl-NL"/>
        </w:rPr>
        <w:t xml:space="preserve"> dalam penerbitan sukuk, sekaligus memaksimalkan potensi infrastruktur yang ada untuk kepentingan publik. Penerbitan sukuk daerah untuk proyek infrastruktur, seperti LRT</w:t>
      </w:r>
      <w:r w:rsidR="00D77C0A" w:rsidRPr="00DA73DB">
        <w:rPr>
          <w:rFonts w:ascii="Palatino Linotype" w:hAnsi="Palatino Linotype"/>
          <w:lang w:val="nl-NL"/>
        </w:rPr>
        <w:t>.</w:t>
      </w:r>
      <w:r w:rsidR="00CB432D" w:rsidRPr="00DA73DB">
        <w:rPr>
          <w:rStyle w:val="FootnoteReference"/>
          <w:rFonts w:ascii="Palatino Linotype" w:hAnsi="Palatino Linotype"/>
        </w:rPr>
        <w:footnoteReference w:id="37"/>
      </w:r>
      <w:r w:rsidR="00D77C0A" w:rsidRPr="00DA73DB">
        <w:rPr>
          <w:rFonts w:ascii="Palatino Linotype" w:hAnsi="Palatino Linotype"/>
          <w:lang w:val="nl-NL"/>
        </w:rPr>
        <w:t xml:space="preserve"> </w:t>
      </w:r>
      <w:r w:rsidR="004968EC" w:rsidRPr="00DA73DB">
        <w:rPr>
          <w:rFonts w:ascii="Palatino Linotype" w:hAnsi="Palatino Linotype"/>
          <w:lang w:val="nl-NL"/>
        </w:rPr>
        <w:t>Melalui penerbitan sukuk daerah, pemerintah memiliki peluang besar untuk mengembangkan model pembiayaan yang inovatif</w:t>
      </w:r>
      <w:r w:rsidR="000C4156" w:rsidRPr="00DA73DB">
        <w:rPr>
          <w:rFonts w:ascii="Palatino Linotype" w:hAnsi="Palatino Linotype"/>
          <w:lang w:val="nl-NL"/>
        </w:rPr>
        <w:t xml:space="preserve"> dan</w:t>
      </w:r>
      <w:r w:rsidR="004968EC" w:rsidRPr="00DA73DB">
        <w:rPr>
          <w:rFonts w:ascii="Palatino Linotype" w:hAnsi="Palatino Linotype"/>
          <w:lang w:val="nl-NL"/>
        </w:rPr>
        <w:t xml:space="preserve"> mengurangi ketergantungan pada APBD</w:t>
      </w:r>
      <w:r w:rsidR="000C4156" w:rsidRPr="00DA73DB">
        <w:rPr>
          <w:rFonts w:ascii="Palatino Linotype" w:hAnsi="Palatino Linotype"/>
          <w:lang w:val="nl-NL"/>
        </w:rPr>
        <w:t>.</w:t>
      </w:r>
      <w:r w:rsidR="004968EC" w:rsidRPr="00DA73DB">
        <w:rPr>
          <w:rFonts w:ascii="Palatino Linotype" w:hAnsi="Palatino Linotype"/>
          <w:lang w:val="nl-NL"/>
        </w:rPr>
        <w:t xml:space="preserve"> </w:t>
      </w:r>
      <w:r w:rsidR="004968EC" w:rsidRPr="00DA73DB">
        <w:rPr>
          <w:rFonts w:ascii="Palatino Linotype" w:hAnsi="Palatino Linotype"/>
        </w:rPr>
        <w:t>Dengan demikian, penerbitan sukuk daerah dapat menjadi instrumen yang sangat efektif dalam mendukung proyek-proyek strategis daerah, seperti pembangunan LRT oleh Jakpro</w:t>
      </w:r>
      <w:r w:rsidR="0008008E" w:rsidRPr="00DA73DB">
        <w:rPr>
          <w:rFonts w:ascii="Palatino Linotype" w:hAnsi="Palatino Linotype"/>
        </w:rPr>
        <w:t>.</w:t>
      </w:r>
    </w:p>
    <w:p w14:paraId="65D8BC84" w14:textId="77777777" w:rsidR="00612F6D" w:rsidRPr="00DA73DB" w:rsidRDefault="00612F6D" w:rsidP="00AC7005">
      <w:pPr>
        <w:spacing w:after="0" w:line="240" w:lineRule="auto"/>
        <w:ind w:firstLine="340"/>
        <w:jc w:val="both"/>
        <w:rPr>
          <w:rFonts w:ascii="Palatino Linotype" w:hAnsi="Palatino Linotype"/>
        </w:rPr>
      </w:pPr>
    </w:p>
    <w:p w14:paraId="54AB3546" w14:textId="3DC6AEAC" w:rsidR="00612F6D" w:rsidRPr="00DA73DB" w:rsidRDefault="006F7B04" w:rsidP="00612F6D">
      <w:pPr>
        <w:pStyle w:val="ListParagraph"/>
        <w:numPr>
          <w:ilvl w:val="0"/>
          <w:numId w:val="12"/>
        </w:numPr>
        <w:spacing w:after="0" w:line="240" w:lineRule="auto"/>
        <w:ind w:left="357" w:hanging="357"/>
        <w:jc w:val="both"/>
        <w:rPr>
          <w:rFonts w:ascii="Palatino Linotype" w:hAnsi="Palatino Linotype"/>
          <w:b/>
        </w:rPr>
      </w:pPr>
      <w:r w:rsidRPr="00DA73DB">
        <w:rPr>
          <w:rFonts w:ascii="Palatino Linotype" w:hAnsi="Palatino Linotype"/>
          <w:b/>
        </w:rPr>
        <w:t>Mekanisme Penerbitan Sukuk Daerah Berdasarkan Peraturan yang Berlaku</w:t>
      </w:r>
    </w:p>
    <w:p w14:paraId="472799B1" w14:textId="77777777" w:rsidR="00612F6D" w:rsidRPr="00DA73DB" w:rsidRDefault="00612F6D" w:rsidP="00612F6D">
      <w:pPr>
        <w:spacing w:after="0" w:line="240" w:lineRule="auto"/>
        <w:ind w:firstLine="340"/>
        <w:jc w:val="both"/>
        <w:rPr>
          <w:rFonts w:ascii="Palatino Linotype" w:hAnsi="Palatino Linotype"/>
          <w:lang w:val="en-US"/>
        </w:rPr>
      </w:pPr>
      <w:r w:rsidRPr="00DA73DB">
        <w:rPr>
          <w:rFonts w:ascii="Palatino Linotype" w:hAnsi="Palatino Linotype"/>
          <w:lang w:val="en-US"/>
        </w:rPr>
        <w:t xml:space="preserve">Penerbitan </w:t>
      </w:r>
      <w:r w:rsidRPr="00DA73DB">
        <w:rPr>
          <w:rFonts w:ascii="Palatino Linotype" w:hAnsi="Palatino Linotype"/>
        </w:rPr>
        <w:t>sukuk</w:t>
      </w:r>
      <w:r w:rsidRPr="00DA73DB">
        <w:rPr>
          <w:rFonts w:ascii="Palatino Linotype" w:hAnsi="Palatino Linotype"/>
          <w:lang w:val="en-US"/>
        </w:rPr>
        <w:t xml:space="preserve"> dapat dilakukan melalui dua cara yaitu melalui penawaran umum atau tanpa melalui penawaran umum (</w:t>
      </w:r>
      <w:r w:rsidRPr="00DA73DB">
        <w:rPr>
          <w:rFonts w:ascii="Palatino Linotype" w:hAnsi="Palatino Linotype"/>
          <w:i/>
          <w:lang w:val="en-US"/>
        </w:rPr>
        <w:t>private placement</w:t>
      </w:r>
      <w:r w:rsidRPr="00DA73DB">
        <w:rPr>
          <w:rFonts w:ascii="Palatino Linotype" w:hAnsi="Palatino Linotype"/>
          <w:lang w:val="en-US"/>
        </w:rPr>
        <w:t>). Merujuk pada Pasal 70 ayat (2) Undang-Undang Nomor 8 Tahun 1995 tentang Pasar Modal (“</w:t>
      </w:r>
      <w:r w:rsidRPr="00DA73DB">
        <w:rPr>
          <w:rFonts w:ascii="Palatino Linotype" w:hAnsi="Palatino Linotype"/>
          <w:b/>
          <w:lang w:val="en-US"/>
        </w:rPr>
        <w:t>UU PM</w:t>
      </w:r>
      <w:r w:rsidRPr="00DA73DB">
        <w:rPr>
          <w:rFonts w:ascii="Palatino Linotype" w:hAnsi="Palatino Linotype"/>
          <w:lang w:val="en-US"/>
        </w:rPr>
        <w:t>”) sebagaimana yang diubah terakhir oleh Undang-Undang Nomor 4 Tahun 2023 tentang Pengembangan dan Penguatan Sektor Keuangan (“</w:t>
      </w:r>
      <w:r w:rsidRPr="00DA73DB">
        <w:rPr>
          <w:rFonts w:ascii="Palatino Linotype" w:hAnsi="Palatino Linotype"/>
          <w:b/>
          <w:lang w:val="en-US"/>
        </w:rPr>
        <w:t>UU P2SK</w:t>
      </w:r>
      <w:r w:rsidRPr="00DA73DB">
        <w:rPr>
          <w:rFonts w:ascii="Palatino Linotype" w:hAnsi="Palatino Linotype"/>
          <w:lang w:val="en-US"/>
        </w:rPr>
        <w:t>”) bahwa penawaran efek yang bersifat utang yang jatuh tempo tidak lebih dari satu tahun, emiten tidak perlu melakukan pendaftaran kepada OJK.</w:t>
      </w:r>
      <w:r w:rsidRPr="00DA73DB">
        <w:rPr>
          <w:rStyle w:val="FootnoteReference"/>
          <w:rFonts w:ascii="Palatino Linotype" w:hAnsi="Palatino Linotype"/>
          <w:lang w:val="en-US"/>
        </w:rPr>
        <w:footnoteReference w:id="38"/>
      </w:r>
    </w:p>
    <w:p w14:paraId="553FFE48" w14:textId="77777777" w:rsidR="00612F6D" w:rsidRPr="00DA73DB" w:rsidRDefault="00612F6D" w:rsidP="00612F6D">
      <w:pPr>
        <w:spacing w:after="0" w:line="240" w:lineRule="auto"/>
        <w:ind w:firstLine="340"/>
        <w:jc w:val="both"/>
        <w:rPr>
          <w:rFonts w:ascii="Palatino Linotype" w:hAnsi="Palatino Linotype"/>
          <w:lang w:val="en-US"/>
        </w:rPr>
      </w:pPr>
      <w:r w:rsidRPr="00DA73DB">
        <w:rPr>
          <w:rFonts w:ascii="Palatino Linotype" w:hAnsi="Palatino Linotype"/>
          <w:lang w:val="en-US"/>
        </w:rPr>
        <w:t xml:space="preserve">Penerbit sukuk melalui </w:t>
      </w:r>
      <w:r w:rsidRPr="00DA73DB">
        <w:rPr>
          <w:rFonts w:ascii="Palatino Linotype" w:hAnsi="Palatino Linotype"/>
          <w:i/>
          <w:lang w:val="en-US"/>
        </w:rPr>
        <w:t xml:space="preserve">private placement </w:t>
      </w:r>
      <w:r w:rsidRPr="00DA73DB">
        <w:rPr>
          <w:rFonts w:ascii="Palatino Linotype" w:hAnsi="Palatino Linotype"/>
          <w:lang w:val="en-US"/>
        </w:rPr>
        <w:t xml:space="preserve">dapat </w:t>
      </w:r>
      <w:r w:rsidRPr="00DA73DB">
        <w:rPr>
          <w:rFonts w:ascii="Palatino Linotype" w:hAnsi="Palatino Linotype"/>
        </w:rPr>
        <w:t>berasal</w:t>
      </w:r>
      <w:r w:rsidRPr="00DA73DB">
        <w:rPr>
          <w:rFonts w:ascii="Palatino Linotype" w:hAnsi="Palatino Linotype"/>
          <w:lang w:val="en-US"/>
        </w:rPr>
        <w:t xml:space="preserve"> dari berbagai jenis entitas, termasuk emiten atau perusahaan publik, badan usaha atau badan hukum di Indonesia, lembaga supranasional, maupun kontrak investasi kolektif yang berwenang menerbitkan sukuk.</w:t>
      </w:r>
      <w:r w:rsidRPr="00DA73DB">
        <w:rPr>
          <w:rStyle w:val="FootnoteReference"/>
          <w:rFonts w:ascii="Palatino Linotype" w:hAnsi="Palatino Linotype"/>
          <w:lang w:val="en-US"/>
        </w:rPr>
        <w:footnoteReference w:id="39"/>
      </w:r>
      <w:r w:rsidRPr="00DA73DB">
        <w:rPr>
          <w:rFonts w:ascii="Palatino Linotype" w:hAnsi="Palatino Linotype"/>
          <w:lang w:val="en-US"/>
        </w:rPr>
        <w:t xml:space="preserve"> Dalam penerbitan Sukuk tanpa penawaran umum (</w:t>
      </w:r>
      <w:r w:rsidRPr="00DA73DB">
        <w:rPr>
          <w:rFonts w:ascii="Palatino Linotype" w:hAnsi="Palatino Linotype"/>
          <w:i/>
          <w:lang w:val="en-US"/>
        </w:rPr>
        <w:t>private</w:t>
      </w:r>
      <w:r w:rsidRPr="00DA73DB">
        <w:rPr>
          <w:rFonts w:ascii="Palatino Linotype" w:hAnsi="Palatino Linotype"/>
          <w:lang w:val="en-US"/>
        </w:rPr>
        <w:t xml:space="preserve"> </w:t>
      </w:r>
      <w:r w:rsidRPr="00DA73DB">
        <w:rPr>
          <w:rFonts w:ascii="Palatino Linotype" w:hAnsi="Palatino Linotype"/>
          <w:i/>
          <w:lang w:val="en-US"/>
        </w:rPr>
        <w:t>placement</w:t>
      </w:r>
      <w:r w:rsidRPr="00DA73DB">
        <w:rPr>
          <w:rFonts w:ascii="Palatino Linotype" w:hAnsi="Palatino Linotype"/>
          <w:lang w:val="en-US"/>
        </w:rPr>
        <w:t xml:space="preserve">), terdapat perbedaan mendasar dengan penawaran umum terbuka di pasar modal. </w:t>
      </w:r>
      <w:r w:rsidRPr="00DA73DB">
        <w:rPr>
          <w:rFonts w:ascii="Palatino Linotype" w:hAnsi="Palatino Linotype"/>
          <w:i/>
          <w:lang w:val="en-US"/>
        </w:rPr>
        <w:t>Private</w:t>
      </w:r>
      <w:r w:rsidRPr="00DA73DB">
        <w:rPr>
          <w:rFonts w:ascii="Palatino Linotype" w:hAnsi="Palatino Linotype"/>
          <w:lang w:val="en-US"/>
        </w:rPr>
        <w:t xml:space="preserve"> </w:t>
      </w:r>
      <w:r w:rsidRPr="00DA73DB">
        <w:rPr>
          <w:rFonts w:ascii="Palatino Linotype" w:hAnsi="Palatino Linotype"/>
          <w:i/>
          <w:lang w:val="en-US"/>
        </w:rPr>
        <w:t>placement</w:t>
      </w:r>
      <w:r w:rsidRPr="00DA73DB">
        <w:rPr>
          <w:rFonts w:ascii="Palatino Linotype" w:hAnsi="Palatino Linotype"/>
          <w:lang w:val="en-US"/>
        </w:rPr>
        <w:t xml:space="preserve"> dilakukan tanpa melalui mekanisme penawaran terbuka dan terbatas hanya kepada pemodal profesional yang memenuhi kriteria tertentu. Pemodal profesional adalah pihak yang memiliki kemampuan untuk membeli Efek dan melakukan analisis risiko terhadap investasi atas Efek tersebut.</w:t>
      </w:r>
      <w:r w:rsidRPr="00DA73DB">
        <w:rPr>
          <w:rStyle w:val="FootnoteReference"/>
          <w:rFonts w:ascii="Palatino Linotype" w:hAnsi="Palatino Linotype"/>
          <w:lang w:val="en-US"/>
        </w:rPr>
        <w:footnoteReference w:id="40"/>
      </w:r>
      <w:r w:rsidRPr="00DA73DB">
        <w:rPr>
          <w:rFonts w:ascii="Palatino Linotype" w:hAnsi="Palatino Linotype"/>
          <w:lang w:val="en-US"/>
        </w:rPr>
        <w:t xml:space="preserve">  Pemodal Profesional terdiri atas:</w:t>
      </w:r>
      <w:r w:rsidRPr="00DA73DB">
        <w:rPr>
          <w:rStyle w:val="FootnoteReference"/>
          <w:rFonts w:ascii="Palatino Linotype" w:hAnsi="Palatino Linotype"/>
          <w:lang w:val="en-US"/>
        </w:rPr>
        <w:footnoteReference w:id="41"/>
      </w:r>
      <w:r w:rsidRPr="00DA73DB">
        <w:rPr>
          <w:rFonts w:ascii="Palatino Linotype" w:hAnsi="Palatino Linotype"/>
          <w:lang w:val="en-US"/>
        </w:rPr>
        <w:t xml:space="preserve"> </w:t>
      </w:r>
    </w:p>
    <w:p w14:paraId="130AE7FA" w14:textId="77777777" w:rsidR="00612F6D" w:rsidRPr="00DA73DB" w:rsidRDefault="00612F6D" w:rsidP="00612F6D">
      <w:pPr>
        <w:pStyle w:val="ListParagraph"/>
        <w:numPr>
          <w:ilvl w:val="0"/>
          <w:numId w:val="8"/>
        </w:numPr>
        <w:jc w:val="both"/>
        <w:rPr>
          <w:rFonts w:ascii="Palatino Linotype" w:hAnsi="Palatino Linotype"/>
          <w:lang w:val="en-US"/>
        </w:rPr>
      </w:pPr>
      <w:r w:rsidRPr="00DA73DB">
        <w:rPr>
          <w:rFonts w:ascii="Palatino Linotype" w:hAnsi="Palatino Linotype"/>
          <w:lang w:val="en-US"/>
        </w:rPr>
        <w:t>Lembaga jasa keuangan meliputi:</w:t>
      </w:r>
    </w:p>
    <w:p w14:paraId="247210CD" w14:textId="77777777" w:rsidR="00612F6D" w:rsidRPr="00DA73DB" w:rsidRDefault="00612F6D" w:rsidP="00612F6D">
      <w:pPr>
        <w:pStyle w:val="ListParagraph"/>
        <w:numPr>
          <w:ilvl w:val="1"/>
          <w:numId w:val="8"/>
        </w:numPr>
        <w:ind w:left="1134"/>
        <w:jc w:val="both"/>
        <w:rPr>
          <w:rFonts w:ascii="Palatino Linotype" w:hAnsi="Palatino Linotype"/>
          <w:lang w:val="en-US"/>
        </w:rPr>
      </w:pPr>
      <w:r w:rsidRPr="00DA73DB">
        <w:rPr>
          <w:rFonts w:ascii="Palatino Linotype" w:hAnsi="Palatino Linotype"/>
          <w:lang w:val="en-US"/>
        </w:rPr>
        <w:t>Bank;</w:t>
      </w:r>
    </w:p>
    <w:p w14:paraId="46FB5E0A" w14:textId="77777777" w:rsidR="00612F6D" w:rsidRPr="00DA73DB" w:rsidRDefault="00612F6D" w:rsidP="00612F6D">
      <w:pPr>
        <w:pStyle w:val="ListParagraph"/>
        <w:numPr>
          <w:ilvl w:val="1"/>
          <w:numId w:val="8"/>
        </w:numPr>
        <w:ind w:left="1134"/>
        <w:jc w:val="both"/>
        <w:rPr>
          <w:rFonts w:ascii="Palatino Linotype" w:hAnsi="Palatino Linotype"/>
          <w:lang w:val="en-US"/>
        </w:rPr>
      </w:pPr>
      <w:r w:rsidRPr="00DA73DB">
        <w:rPr>
          <w:rFonts w:ascii="Palatino Linotype" w:hAnsi="Palatino Linotype"/>
          <w:lang w:val="en-US"/>
        </w:rPr>
        <w:t>Dana pensiun;</w:t>
      </w:r>
    </w:p>
    <w:p w14:paraId="3453901B" w14:textId="77777777" w:rsidR="00612F6D" w:rsidRPr="00DA73DB" w:rsidRDefault="00612F6D" w:rsidP="00612F6D">
      <w:pPr>
        <w:pStyle w:val="ListParagraph"/>
        <w:numPr>
          <w:ilvl w:val="1"/>
          <w:numId w:val="8"/>
        </w:numPr>
        <w:ind w:left="1134"/>
        <w:jc w:val="both"/>
        <w:rPr>
          <w:rFonts w:ascii="Palatino Linotype" w:hAnsi="Palatino Linotype"/>
          <w:lang w:val="en-US"/>
        </w:rPr>
      </w:pPr>
      <w:r w:rsidRPr="00DA73DB">
        <w:rPr>
          <w:rFonts w:ascii="Palatino Linotype" w:hAnsi="Palatino Linotype"/>
          <w:lang w:val="en-US"/>
        </w:rPr>
        <w:t>Perusahaan asuransi;</w:t>
      </w:r>
    </w:p>
    <w:p w14:paraId="04CC39EC" w14:textId="77777777" w:rsidR="00612F6D" w:rsidRPr="00DA73DB" w:rsidRDefault="00612F6D" w:rsidP="00612F6D">
      <w:pPr>
        <w:pStyle w:val="ListParagraph"/>
        <w:numPr>
          <w:ilvl w:val="1"/>
          <w:numId w:val="8"/>
        </w:numPr>
        <w:ind w:left="1134"/>
        <w:jc w:val="both"/>
        <w:rPr>
          <w:rFonts w:ascii="Palatino Linotype" w:hAnsi="Palatino Linotype"/>
          <w:lang w:val="nl-NL"/>
        </w:rPr>
      </w:pPr>
      <w:r w:rsidRPr="00DA73DB">
        <w:rPr>
          <w:rFonts w:ascii="Palatino Linotype" w:hAnsi="Palatino Linotype"/>
          <w:lang w:val="nl-NL"/>
        </w:rPr>
        <w:t>Manajer investasi, termasuk produk investasi yang dikelola dan/atau nasabah yang diwakilinya;</w:t>
      </w:r>
    </w:p>
    <w:p w14:paraId="29D6CB9B" w14:textId="77777777" w:rsidR="00612F6D" w:rsidRPr="00DA73DB" w:rsidRDefault="00612F6D" w:rsidP="00612F6D">
      <w:pPr>
        <w:pStyle w:val="ListParagraph"/>
        <w:numPr>
          <w:ilvl w:val="1"/>
          <w:numId w:val="8"/>
        </w:numPr>
        <w:ind w:left="1134"/>
        <w:jc w:val="both"/>
        <w:rPr>
          <w:rFonts w:ascii="Palatino Linotype" w:hAnsi="Palatino Linotype"/>
          <w:lang w:val="en-US"/>
        </w:rPr>
      </w:pPr>
      <w:r w:rsidRPr="00DA73DB">
        <w:rPr>
          <w:rFonts w:ascii="Palatino Linotype" w:hAnsi="Palatino Linotype"/>
          <w:lang w:val="en-US"/>
        </w:rPr>
        <w:t>Perusahaan efek.</w:t>
      </w:r>
    </w:p>
    <w:p w14:paraId="304DCDFB" w14:textId="77777777" w:rsidR="00612F6D" w:rsidRPr="00DA73DB" w:rsidRDefault="00612F6D" w:rsidP="00612F6D">
      <w:pPr>
        <w:pStyle w:val="ListParagraph"/>
        <w:ind w:left="1134"/>
        <w:jc w:val="both"/>
        <w:rPr>
          <w:rFonts w:ascii="Palatino Linotype" w:hAnsi="Palatino Linotype"/>
          <w:lang w:val="en-US"/>
        </w:rPr>
      </w:pPr>
    </w:p>
    <w:p w14:paraId="33E3D367" w14:textId="77777777" w:rsidR="00612F6D" w:rsidRPr="00DA73DB" w:rsidRDefault="00612F6D" w:rsidP="00612F6D">
      <w:pPr>
        <w:pStyle w:val="ListParagraph"/>
        <w:numPr>
          <w:ilvl w:val="0"/>
          <w:numId w:val="8"/>
        </w:numPr>
        <w:jc w:val="both"/>
        <w:rPr>
          <w:rFonts w:ascii="Palatino Linotype" w:hAnsi="Palatino Linotype"/>
          <w:lang w:val="en-US"/>
        </w:rPr>
      </w:pPr>
      <w:r w:rsidRPr="00DA73DB">
        <w:rPr>
          <w:rFonts w:ascii="Palatino Linotype" w:hAnsi="Palatino Linotype"/>
          <w:lang w:val="en-US"/>
        </w:rPr>
        <w:t>Pihak selain lembaga jasa keuangan, mencakup:</w:t>
      </w:r>
    </w:p>
    <w:p w14:paraId="4631D941" w14:textId="77777777" w:rsidR="00612F6D" w:rsidRPr="00DA73DB" w:rsidRDefault="00612F6D" w:rsidP="00612F6D">
      <w:pPr>
        <w:pStyle w:val="ListParagraph"/>
        <w:numPr>
          <w:ilvl w:val="1"/>
          <w:numId w:val="8"/>
        </w:numPr>
        <w:ind w:left="1134"/>
        <w:jc w:val="both"/>
        <w:rPr>
          <w:rFonts w:ascii="Palatino Linotype" w:hAnsi="Palatino Linotype"/>
          <w:lang w:val="en-US"/>
        </w:rPr>
      </w:pPr>
      <w:r w:rsidRPr="00DA73DB">
        <w:rPr>
          <w:rFonts w:ascii="Palatino Linotype" w:hAnsi="Palatino Linotype"/>
          <w:lang w:val="en-US"/>
        </w:rPr>
        <w:t>Orang perseorangan yang memiliki kemampuan untuk menganalisis risiko investasi, pengalaman di pasar modal minimal satu tahun, dan memenuhi salah satu dari kriteria berikut:</w:t>
      </w:r>
    </w:p>
    <w:p w14:paraId="01686D5B" w14:textId="77777777" w:rsidR="00612F6D" w:rsidRPr="00DA73DB" w:rsidRDefault="00612F6D" w:rsidP="00612F6D">
      <w:pPr>
        <w:pStyle w:val="ListParagraph"/>
        <w:numPr>
          <w:ilvl w:val="2"/>
          <w:numId w:val="8"/>
        </w:numPr>
        <w:ind w:left="1560"/>
        <w:jc w:val="both"/>
        <w:rPr>
          <w:rFonts w:ascii="Palatino Linotype" w:hAnsi="Palatino Linotype"/>
          <w:lang w:val="en-US"/>
        </w:rPr>
      </w:pPr>
      <w:r w:rsidRPr="00DA73DB">
        <w:rPr>
          <w:rFonts w:ascii="Palatino Linotype" w:hAnsi="Palatino Linotype"/>
          <w:lang w:val="en-US"/>
        </w:rPr>
        <w:t>Memiliki aset bersih minimal Rp10.000.000.000,00 (sepuluh miliar rupiah) tidak termasuk tanah, bangunan, dan aset tidak berwujud.</w:t>
      </w:r>
    </w:p>
    <w:p w14:paraId="1E37EE43" w14:textId="77777777" w:rsidR="00612F6D" w:rsidRPr="00DA73DB" w:rsidRDefault="00612F6D" w:rsidP="00612F6D">
      <w:pPr>
        <w:pStyle w:val="ListParagraph"/>
        <w:numPr>
          <w:ilvl w:val="2"/>
          <w:numId w:val="8"/>
        </w:numPr>
        <w:ind w:left="1560"/>
        <w:jc w:val="both"/>
        <w:rPr>
          <w:rFonts w:ascii="Palatino Linotype" w:hAnsi="Palatino Linotype"/>
          <w:lang w:val="en-US"/>
        </w:rPr>
      </w:pPr>
      <w:r w:rsidRPr="00DA73DB">
        <w:rPr>
          <w:rFonts w:ascii="Palatino Linotype" w:hAnsi="Palatino Linotype"/>
          <w:lang w:val="en-US"/>
        </w:rPr>
        <w:t>Memiliki portofolio investasi di pasar modal rata-rata minimal Rp3.000.000.000,00 (tiga miliar rupiah) dalam satu tahun sebelum penawaran umum.</w:t>
      </w:r>
    </w:p>
    <w:p w14:paraId="62BC4EA4" w14:textId="77777777" w:rsidR="00612F6D" w:rsidRPr="00DA73DB" w:rsidRDefault="00612F6D" w:rsidP="00612F6D">
      <w:pPr>
        <w:pStyle w:val="ListParagraph"/>
        <w:ind w:left="2340"/>
        <w:jc w:val="both"/>
        <w:rPr>
          <w:rFonts w:ascii="Palatino Linotype" w:hAnsi="Palatino Linotype"/>
          <w:lang w:val="en-US"/>
        </w:rPr>
      </w:pPr>
    </w:p>
    <w:p w14:paraId="6D21C7CC" w14:textId="77777777" w:rsidR="00612F6D" w:rsidRPr="00DA73DB" w:rsidRDefault="00612F6D" w:rsidP="00612F6D">
      <w:pPr>
        <w:pStyle w:val="ListParagraph"/>
        <w:numPr>
          <w:ilvl w:val="1"/>
          <w:numId w:val="8"/>
        </w:numPr>
        <w:ind w:left="1134"/>
        <w:jc w:val="both"/>
        <w:rPr>
          <w:rFonts w:ascii="Palatino Linotype" w:hAnsi="Palatino Linotype"/>
          <w:lang w:val="en-US"/>
        </w:rPr>
      </w:pPr>
      <w:r w:rsidRPr="00DA73DB">
        <w:rPr>
          <w:rFonts w:ascii="Palatino Linotype" w:hAnsi="Palatino Linotype"/>
          <w:lang w:val="en-US"/>
        </w:rPr>
        <w:t>Badan hukum, usaha bersama, asosiasi, atau kelompok yang terorganisasi, yang memenuhi syarat analisis risiko, memiliki pengalaman investasi di pasar modal minimal satu tahun, dan memenuhi salah satu dari kriteria berikut:</w:t>
      </w:r>
    </w:p>
    <w:p w14:paraId="43FAD9F1" w14:textId="77777777" w:rsidR="00612F6D" w:rsidRPr="00DA73DB" w:rsidRDefault="00612F6D" w:rsidP="00612F6D">
      <w:pPr>
        <w:pStyle w:val="ListParagraph"/>
        <w:numPr>
          <w:ilvl w:val="2"/>
          <w:numId w:val="8"/>
        </w:numPr>
        <w:ind w:left="1560"/>
        <w:jc w:val="both"/>
        <w:rPr>
          <w:rFonts w:ascii="Palatino Linotype" w:hAnsi="Palatino Linotype"/>
          <w:lang w:val="en-US"/>
        </w:rPr>
      </w:pPr>
      <w:r w:rsidRPr="00DA73DB">
        <w:rPr>
          <w:rFonts w:ascii="Palatino Linotype" w:hAnsi="Palatino Linotype"/>
          <w:lang w:val="en-US"/>
        </w:rPr>
        <w:t>Memiliki aset bersih minimal Rp20.000.000.000,00 (dua puluh miliar rupiah), tidak termasuk tanah, bangunan, dan aset tidak berwujud.</w:t>
      </w:r>
    </w:p>
    <w:p w14:paraId="0987BDB5" w14:textId="77777777" w:rsidR="00612F6D" w:rsidRPr="00DA73DB" w:rsidRDefault="00612F6D" w:rsidP="00612F6D">
      <w:pPr>
        <w:pStyle w:val="ListParagraph"/>
        <w:numPr>
          <w:ilvl w:val="2"/>
          <w:numId w:val="8"/>
        </w:numPr>
        <w:ind w:left="1560"/>
        <w:jc w:val="both"/>
        <w:rPr>
          <w:rFonts w:ascii="Palatino Linotype" w:hAnsi="Palatino Linotype"/>
          <w:lang w:val="en-US"/>
        </w:rPr>
      </w:pPr>
      <w:r w:rsidRPr="00DA73DB">
        <w:rPr>
          <w:rFonts w:ascii="Palatino Linotype" w:hAnsi="Palatino Linotype"/>
          <w:lang w:val="en-US"/>
        </w:rPr>
        <w:t>Memiliki rata-rata portofolio investasi di pasar modal minimal Rp6.000.000.000,00 (enam miliar rupiah) dalam satu tahun sebelum penawaran umum.</w:t>
      </w:r>
    </w:p>
    <w:p w14:paraId="37858359" w14:textId="679AE664" w:rsidR="00612F6D" w:rsidRPr="00DA73DB" w:rsidRDefault="00612F6D" w:rsidP="00612F6D">
      <w:pPr>
        <w:spacing w:after="0" w:line="240" w:lineRule="auto"/>
        <w:ind w:firstLine="340"/>
        <w:jc w:val="both"/>
        <w:rPr>
          <w:rFonts w:ascii="Palatino Linotype" w:hAnsi="Palatino Linotype"/>
          <w:lang w:val="en-US"/>
        </w:rPr>
      </w:pPr>
      <w:r w:rsidRPr="00DA73DB">
        <w:rPr>
          <w:rFonts w:ascii="Palatino Linotype" w:hAnsi="Palatino Linotype"/>
          <w:lang w:val="en-US"/>
        </w:rPr>
        <w:t xml:space="preserve">Salah satu contoh pemodal profesional adalah LPS yang telah memenuhi kriteria dalam Pasal 5 ayat (3) POJK </w:t>
      </w:r>
      <w:r w:rsidR="00BC66D6" w:rsidRPr="00DA73DB">
        <w:rPr>
          <w:rFonts w:ascii="Palatino Linotype" w:hAnsi="Palatino Linotype"/>
          <w:lang w:val="en-US"/>
        </w:rPr>
        <w:t>No.</w:t>
      </w:r>
      <w:r w:rsidRPr="00DA73DB">
        <w:rPr>
          <w:rFonts w:ascii="Palatino Linotype" w:hAnsi="Palatino Linotype"/>
          <w:lang w:val="en-US"/>
        </w:rPr>
        <w:t>11/2018, yaitu:</w:t>
      </w:r>
    </w:p>
    <w:p w14:paraId="180CC8D2" w14:textId="77777777" w:rsidR="00612F6D" w:rsidRPr="00DA73DB" w:rsidRDefault="00612F6D" w:rsidP="00612F6D">
      <w:pPr>
        <w:numPr>
          <w:ilvl w:val="0"/>
          <w:numId w:val="4"/>
        </w:numPr>
        <w:ind w:left="709"/>
        <w:jc w:val="both"/>
        <w:rPr>
          <w:rFonts w:ascii="Palatino Linotype" w:hAnsi="Palatino Linotype"/>
          <w:lang w:val="en-US"/>
        </w:rPr>
      </w:pPr>
      <w:r w:rsidRPr="00DA73DB">
        <w:rPr>
          <w:rFonts w:ascii="Palatino Linotype" w:hAnsi="Palatino Linotype"/>
          <w:lang w:val="en-US"/>
        </w:rPr>
        <w:t xml:space="preserve">memiliki aset bersih paling sedikit Rp20.000.000.000,00 (dua puluh miliar rupiah) tidak termasuk tanah, bangunan, dan aset tidak berwujud; atau </w:t>
      </w:r>
    </w:p>
    <w:p w14:paraId="3D80F1D0" w14:textId="77777777" w:rsidR="00612F6D" w:rsidRPr="00DA73DB" w:rsidRDefault="00612F6D" w:rsidP="00612F6D">
      <w:pPr>
        <w:numPr>
          <w:ilvl w:val="0"/>
          <w:numId w:val="4"/>
        </w:numPr>
        <w:ind w:left="709"/>
        <w:jc w:val="both"/>
        <w:rPr>
          <w:rFonts w:ascii="Palatino Linotype" w:hAnsi="Palatino Linotype"/>
          <w:lang w:val="en-US"/>
        </w:rPr>
      </w:pPr>
      <w:r w:rsidRPr="00DA73DB">
        <w:rPr>
          <w:rFonts w:ascii="Palatino Linotype" w:hAnsi="Palatino Linotype"/>
          <w:lang w:val="en-US"/>
        </w:rPr>
        <w:t>memiliki rata-rata portofolio investasi di Pasar Modal paling sedikit Rp6.000.000.000,00 (enam miliar rupiah) dalam 1 (satu) tahun sebelum Penawaran Umum Efek bersifat utang dan/atau Sukuk dilakukan.</w:t>
      </w:r>
    </w:p>
    <w:p w14:paraId="16C98405" w14:textId="77777777" w:rsidR="00612F6D" w:rsidRPr="00DA73DB" w:rsidRDefault="00612F6D" w:rsidP="00612F6D">
      <w:pPr>
        <w:spacing w:after="0" w:line="240" w:lineRule="auto"/>
        <w:ind w:firstLine="340"/>
        <w:jc w:val="both"/>
        <w:rPr>
          <w:rFonts w:ascii="Palatino Linotype" w:hAnsi="Palatino Linotype"/>
          <w:lang w:val="en-US"/>
        </w:rPr>
      </w:pPr>
      <w:r w:rsidRPr="00DA73DB">
        <w:rPr>
          <w:rFonts w:ascii="Palatino Linotype" w:hAnsi="Palatino Linotype"/>
          <w:lang w:val="en-US"/>
        </w:rPr>
        <w:t xml:space="preserve">Menurut Laporan </w:t>
      </w:r>
      <w:r w:rsidRPr="00DA73DB">
        <w:rPr>
          <w:rFonts w:ascii="Palatino Linotype" w:hAnsi="Palatino Linotype"/>
        </w:rPr>
        <w:t>Keuangan</w:t>
      </w:r>
      <w:r w:rsidRPr="00DA73DB">
        <w:rPr>
          <w:rFonts w:ascii="Palatino Linotype" w:hAnsi="Palatino Linotype"/>
          <w:lang w:val="en-US"/>
        </w:rPr>
        <w:t xml:space="preserve"> LPS tahun 2023, LPS memiliki total aset sebesar Rp213.690.000.000 (dua ratus tiga belas miliar enam ratus sembilan puluh juta rupiah) dan portofolio investasi surat berharga sebesar Rp206.705.000.000 (dua ratus enam miliar tujuh ratus lima juta rupiah).</w:t>
      </w:r>
    </w:p>
    <w:p w14:paraId="4BDA63EC" w14:textId="77777777" w:rsidR="00612F6D" w:rsidRPr="00DA73DB" w:rsidRDefault="00612F6D" w:rsidP="00612F6D">
      <w:pPr>
        <w:spacing w:after="0" w:line="240" w:lineRule="auto"/>
        <w:ind w:firstLine="340"/>
        <w:jc w:val="both"/>
        <w:rPr>
          <w:rFonts w:ascii="Palatino Linotype" w:hAnsi="Palatino Linotype"/>
          <w:lang w:val="en-US"/>
        </w:rPr>
      </w:pPr>
      <w:r w:rsidRPr="00DA73DB">
        <w:rPr>
          <w:rFonts w:ascii="Palatino Linotype" w:hAnsi="Palatino Linotype"/>
          <w:lang w:val="en-US"/>
        </w:rPr>
        <w:t xml:space="preserve">Sukuk yang diterbitkan melalui </w:t>
      </w:r>
      <w:r w:rsidRPr="00DA73DB">
        <w:rPr>
          <w:rFonts w:ascii="Palatino Linotype" w:hAnsi="Palatino Linotype"/>
          <w:i/>
          <w:lang w:val="en-US"/>
        </w:rPr>
        <w:t>private placement</w:t>
      </w:r>
      <w:r w:rsidRPr="00DA73DB">
        <w:rPr>
          <w:rFonts w:ascii="Palatino Linotype" w:hAnsi="Palatino Linotype"/>
          <w:lang w:val="en-US"/>
        </w:rPr>
        <w:t xml:space="preserve"> harus memenuhi beberapa kriteria, yaitu nilai penerbitan minimal sebesar Rp1.000.000.000,00 (satu miliar rupiah), baik dilakukan dalam satu kali penerbitan </w:t>
      </w:r>
      <w:r w:rsidRPr="00DA73DB">
        <w:rPr>
          <w:rFonts w:ascii="Palatino Linotype" w:hAnsi="Palatino Linotype"/>
        </w:rPr>
        <w:t>maupun</w:t>
      </w:r>
      <w:r w:rsidRPr="00DA73DB">
        <w:rPr>
          <w:rFonts w:ascii="Palatino Linotype" w:hAnsi="Palatino Linotype"/>
          <w:lang w:val="en-US"/>
        </w:rPr>
        <w:t xml:space="preserve"> secara bertahap dalam kurun waktu satu tahun. Selain itu, sukuk ini harus memiliki jatuh tempo lebih dari satu tahun.</w:t>
      </w:r>
      <w:r w:rsidRPr="00DA73DB">
        <w:rPr>
          <w:rStyle w:val="FootnoteReference"/>
          <w:rFonts w:ascii="Palatino Linotype" w:hAnsi="Palatino Linotype"/>
          <w:lang w:val="en-US"/>
        </w:rPr>
        <w:footnoteReference w:id="42"/>
      </w:r>
      <w:r w:rsidRPr="00DA73DB">
        <w:rPr>
          <w:rFonts w:ascii="Palatino Linotype" w:hAnsi="Palatino Linotype"/>
          <w:lang w:val="en-US"/>
        </w:rPr>
        <w:t xml:space="preserve"> Namun, penerbitan sukuk melalui </w:t>
      </w:r>
      <w:r w:rsidRPr="00DA73DB">
        <w:rPr>
          <w:rFonts w:ascii="Palatino Linotype" w:hAnsi="Palatino Linotype"/>
          <w:i/>
          <w:lang w:val="en-US"/>
        </w:rPr>
        <w:t>private</w:t>
      </w:r>
      <w:r w:rsidRPr="00DA73DB">
        <w:rPr>
          <w:rFonts w:ascii="Palatino Linotype" w:hAnsi="Palatino Linotype"/>
          <w:lang w:val="en-US"/>
        </w:rPr>
        <w:t xml:space="preserve"> </w:t>
      </w:r>
      <w:r w:rsidRPr="00DA73DB">
        <w:rPr>
          <w:rFonts w:ascii="Palatino Linotype" w:hAnsi="Palatino Linotype"/>
          <w:i/>
          <w:lang w:val="en-US"/>
        </w:rPr>
        <w:t>placement</w:t>
      </w:r>
      <w:r w:rsidRPr="00DA73DB">
        <w:rPr>
          <w:rFonts w:ascii="Palatino Linotype" w:hAnsi="Palatino Linotype"/>
          <w:lang w:val="en-US"/>
        </w:rPr>
        <w:t xml:space="preserve"> juga dimungkinkan jika jatuh temponya kurang dari satu tahun, dengan catatan penerbitan tersebut tidak diawasi oleh otoritas lain.</w:t>
      </w:r>
      <w:r w:rsidRPr="00DA73DB">
        <w:rPr>
          <w:rStyle w:val="FootnoteReference"/>
          <w:rFonts w:ascii="Palatino Linotype" w:hAnsi="Palatino Linotype"/>
          <w:lang w:val="en-US"/>
        </w:rPr>
        <w:footnoteReference w:id="43"/>
      </w:r>
      <w:r w:rsidRPr="00DA73DB">
        <w:rPr>
          <w:rFonts w:ascii="Palatino Linotype" w:hAnsi="Palatino Linotype"/>
          <w:lang w:val="en-US"/>
        </w:rPr>
        <w:t xml:space="preserve"> </w:t>
      </w:r>
    </w:p>
    <w:p w14:paraId="14381FBE" w14:textId="77777777" w:rsidR="00612F6D" w:rsidRPr="00DA73DB" w:rsidRDefault="00612F6D" w:rsidP="00612F6D">
      <w:pPr>
        <w:spacing w:after="0" w:line="240" w:lineRule="auto"/>
        <w:ind w:firstLine="340"/>
        <w:jc w:val="both"/>
        <w:rPr>
          <w:rFonts w:ascii="Palatino Linotype" w:hAnsi="Palatino Linotype"/>
          <w:lang w:val="en-US"/>
        </w:rPr>
      </w:pPr>
      <w:r w:rsidRPr="00DA73DB">
        <w:rPr>
          <w:rFonts w:ascii="Palatino Linotype" w:hAnsi="Palatino Linotype"/>
          <w:lang w:val="en-US"/>
        </w:rPr>
        <w:t xml:space="preserve">Setelah memenuhi kriteria nilai </w:t>
      </w:r>
      <w:r w:rsidRPr="00DA73DB">
        <w:rPr>
          <w:rFonts w:ascii="Palatino Linotype" w:hAnsi="Palatino Linotype"/>
        </w:rPr>
        <w:t>penerbitan</w:t>
      </w:r>
      <w:r w:rsidRPr="00DA73DB">
        <w:rPr>
          <w:rFonts w:ascii="Palatino Linotype" w:hAnsi="Palatino Linotype"/>
          <w:lang w:val="en-US"/>
        </w:rPr>
        <w:t xml:space="preserve">, penerbitan sukuk melalui </w:t>
      </w:r>
      <w:r w:rsidRPr="00DA73DB">
        <w:rPr>
          <w:rFonts w:ascii="Palatino Linotype" w:hAnsi="Palatino Linotype"/>
          <w:i/>
          <w:lang w:val="en-US"/>
        </w:rPr>
        <w:t>private placement</w:t>
      </w:r>
      <w:r w:rsidRPr="00DA73DB">
        <w:rPr>
          <w:rFonts w:ascii="Palatino Linotype" w:hAnsi="Palatino Linotype"/>
          <w:lang w:val="en-US"/>
        </w:rPr>
        <w:t xml:space="preserve"> harus memenuhi sejumlah ketentuan. Pertama, Penerbitan sukuk tanpa penawaran umum dilakukan dalam bentuk tanpa warkat (</w:t>
      </w:r>
      <w:r w:rsidRPr="00DA73DB">
        <w:rPr>
          <w:rFonts w:ascii="Palatino Linotype" w:hAnsi="Palatino Linotype"/>
          <w:i/>
          <w:lang w:val="en-US"/>
        </w:rPr>
        <w:t>scripless</w:t>
      </w:r>
      <w:r w:rsidRPr="00DA73DB">
        <w:rPr>
          <w:rFonts w:ascii="Palatino Linotype" w:hAnsi="Palatino Linotype"/>
          <w:lang w:val="en-US"/>
        </w:rPr>
        <w:t>) dan disimpan di Kustodian Sentral Efek Indonesia sebagai lembaga penyimpanan dan penyelesaian.</w:t>
      </w:r>
      <w:r w:rsidRPr="00DA73DB">
        <w:rPr>
          <w:rStyle w:val="FootnoteReference"/>
          <w:rFonts w:ascii="Palatino Linotype" w:hAnsi="Palatino Linotype"/>
          <w:lang w:val="en-US"/>
        </w:rPr>
        <w:footnoteReference w:id="44"/>
      </w:r>
      <w:r w:rsidRPr="00DA73DB">
        <w:rPr>
          <w:rFonts w:ascii="Palatino Linotype" w:hAnsi="Palatino Linotype"/>
          <w:lang w:val="en-US"/>
        </w:rPr>
        <w:t xml:space="preserve"> Kedua, Sukuk ini juga wajib diperingkat atau dijamin dengan jaminan minimal 100% dari nilai nominal, terutama jika diterbitkan oleh pihak selain emiten atau perusahaan publik.</w:t>
      </w:r>
      <w:r w:rsidRPr="00DA73DB">
        <w:rPr>
          <w:rStyle w:val="FootnoteReference"/>
          <w:rFonts w:ascii="Palatino Linotype" w:hAnsi="Palatino Linotype"/>
          <w:lang w:val="en-US"/>
        </w:rPr>
        <w:footnoteReference w:id="45"/>
      </w:r>
      <w:r w:rsidRPr="00DA73DB">
        <w:rPr>
          <w:rFonts w:ascii="Palatino Linotype" w:hAnsi="Palatino Linotype"/>
          <w:lang w:val="en-US"/>
        </w:rPr>
        <w:t>Ketiga, sukuk hanya dapat dibeli kembali setelah satu tahun dari tanggal penerbitan atau distribusinya.</w:t>
      </w:r>
      <w:r w:rsidRPr="00DA73DB">
        <w:rPr>
          <w:rStyle w:val="FootnoteReference"/>
          <w:rFonts w:ascii="Palatino Linotype" w:hAnsi="Palatino Linotype"/>
          <w:lang w:val="en-US"/>
        </w:rPr>
        <w:footnoteReference w:id="46"/>
      </w:r>
      <w:r w:rsidRPr="00DA73DB">
        <w:rPr>
          <w:rFonts w:ascii="Palatino Linotype" w:hAnsi="Palatino Linotype"/>
          <w:lang w:val="en-US"/>
        </w:rPr>
        <w:t xml:space="preserve"> Keempat, Jumlah pemegang sukuk dibatasi maksimal 49 pihak, dengan nilai pemindahbukuan minimal Rp25.000.000,00 (dua puluh lima juta rupiah) atau kelipatannya.</w:t>
      </w:r>
      <w:r w:rsidRPr="00DA73DB">
        <w:rPr>
          <w:rStyle w:val="FootnoteReference"/>
          <w:rFonts w:ascii="Palatino Linotype" w:hAnsi="Palatino Linotype"/>
          <w:lang w:val="en-US"/>
        </w:rPr>
        <w:footnoteReference w:id="47"/>
      </w:r>
      <w:r w:rsidRPr="00DA73DB">
        <w:rPr>
          <w:rFonts w:ascii="Palatino Linotype" w:hAnsi="Palatino Linotype"/>
          <w:lang w:val="en-US"/>
        </w:rPr>
        <w:t xml:space="preserve"> </w:t>
      </w:r>
    </w:p>
    <w:p w14:paraId="530F7760" w14:textId="7DFC2E46" w:rsidR="00233796" w:rsidRPr="00DA73DB" w:rsidRDefault="00612F6D" w:rsidP="00717B72">
      <w:pPr>
        <w:spacing w:after="0" w:line="240" w:lineRule="auto"/>
        <w:ind w:firstLine="340"/>
        <w:jc w:val="both"/>
        <w:rPr>
          <w:rFonts w:ascii="Palatino Linotype" w:hAnsi="Palatino Linotype"/>
          <w:lang w:val="en-US"/>
        </w:rPr>
      </w:pPr>
      <w:r w:rsidRPr="00DA73DB">
        <w:rPr>
          <w:rFonts w:ascii="Palatino Linotype" w:hAnsi="Palatino Linotype"/>
          <w:lang w:val="en-US"/>
        </w:rPr>
        <w:t xml:space="preserve">Pasal 50 ayat (1) dan (2) PP No. 1/2024 mengatur bahwa sukuk daerah harus diterbitkan melalui pasar </w:t>
      </w:r>
      <w:r w:rsidRPr="00DA73DB">
        <w:rPr>
          <w:rFonts w:ascii="Palatino Linotype" w:hAnsi="Palatino Linotype"/>
        </w:rPr>
        <w:t>modal</w:t>
      </w:r>
      <w:r w:rsidRPr="00DA73DB">
        <w:rPr>
          <w:rFonts w:ascii="Palatino Linotype" w:hAnsi="Palatino Linotype"/>
          <w:lang w:val="en-US"/>
        </w:rPr>
        <w:t xml:space="preserve"> domestik. Pasar </w:t>
      </w:r>
      <w:r w:rsidRPr="00DA73DB">
        <w:rPr>
          <w:rFonts w:ascii="Palatino Linotype" w:hAnsi="Palatino Linotype"/>
        </w:rPr>
        <w:t>modal</w:t>
      </w:r>
      <w:r w:rsidRPr="00DA73DB">
        <w:rPr>
          <w:rFonts w:ascii="Palatino Linotype" w:hAnsi="Palatino Linotype"/>
          <w:lang w:val="en-US"/>
        </w:rPr>
        <w:t xml:space="preserve"> domestik mencakup kegiatan yang berhubungan dengan penawaran umum dan perdagangan efek, perusahaan publik yang terkait dengan efek yang diterbitkannya, serta lembaga dan profesi yang berkaitan dengan efek di wilayah Negara Kesatuan Republik Indonesia. Dalam hal ini, mekanisme penerbitan sukuk daerah dilakukan melalui penawaran umum, yaitu kegiatan di mana emiten menawarkan efek kepada masyarakat untuk dijual secara luas. Selanjutnya, Pasal 53 ayat (3) PP </w:t>
      </w:r>
      <w:r w:rsidR="00C41EED" w:rsidRPr="00DA73DB">
        <w:rPr>
          <w:rFonts w:ascii="Palatino Linotype" w:hAnsi="Palatino Linotype"/>
          <w:lang w:val="en-US"/>
        </w:rPr>
        <w:t>No.</w:t>
      </w:r>
      <w:r w:rsidRPr="00DA73DB">
        <w:rPr>
          <w:rFonts w:ascii="Palatino Linotype" w:hAnsi="Palatino Linotype"/>
          <w:lang w:val="en-US"/>
        </w:rPr>
        <w:t xml:space="preserve">1/2024 menegaskan bahwa peraturan kepala daerah mengenai </w:t>
      </w:r>
      <w:r w:rsidRPr="00DA73DB">
        <w:rPr>
          <w:rFonts w:ascii="Palatino Linotype" w:hAnsi="Palatino Linotype"/>
        </w:rPr>
        <w:t>penerbitan</w:t>
      </w:r>
      <w:r w:rsidRPr="00DA73DB">
        <w:rPr>
          <w:rFonts w:ascii="Palatino Linotype" w:hAnsi="Palatino Linotype"/>
          <w:lang w:val="en-US"/>
        </w:rPr>
        <w:t xml:space="preserve"> sukuk </w:t>
      </w:r>
      <w:r w:rsidRPr="00DA73DB">
        <w:rPr>
          <w:rFonts w:ascii="Palatino Linotype" w:hAnsi="Palatino Linotype"/>
        </w:rPr>
        <w:t>daerah</w:t>
      </w:r>
      <w:r w:rsidRPr="00DA73DB">
        <w:rPr>
          <w:rFonts w:ascii="Palatino Linotype" w:hAnsi="Palatino Linotype"/>
          <w:lang w:val="en-US"/>
        </w:rPr>
        <w:t xml:space="preserve"> harus memuat ketentuan mengenai metode penerbitan yang menggunakan skema penawaran umum. Hal ini memperjelas bahwa peraturan tersebut tidak memberikan opsi penerbitan sukuk daerah melalui mekanisme tanpa penawaran umum (</w:t>
      </w:r>
      <w:r w:rsidRPr="00DA73DB">
        <w:rPr>
          <w:rFonts w:ascii="Palatino Linotype" w:hAnsi="Palatino Linotype"/>
          <w:i/>
          <w:lang w:val="en-US"/>
        </w:rPr>
        <w:t>private</w:t>
      </w:r>
      <w:r w:rsidRPr="00DA73DB">
        <w:rPr>
          <w:rFonts w:ascii="Palatino Linotype" w:hAnsi="Palatino Linotype"/>
          <w:lang w:val="en-US"/>
        </w:rPr>
        <w:t xml:space="preserve"> </w:t>
      </w:r>
      <w:r w:rsidRPr="00DA73DB">
        <w:rPr>
          <w:rFonts w:ascii="Palatino Linotype" w:hAnsi="Palatino Linotype"/>
          <w:i/>
          <w:lang w:val="en-US"/>
        </w:rPr>
        <w:t>placement</w:t>
      </w:r>
      <w:r w:rsidRPr="00DA73DB">
        <w:rPr>
          <w:rFonts w:ascii="Palatino Linotype" w:hAnsi="Palatino Linotype"/>
          <w:lang w:val="en-US"/>
        </w:rPr>
        <w:t xml:space="preserve">). Dengan demikian, PP No. 1/2024 mengatur penerbitan sukuk daerah melalui pasar modal domestik dengan mekanisme penawaran umum, tanpa menyertakan opsi </w:t>
      </w:r>
      <w:r w:rsidRPr="00DA73DB">
        <w:rPr>
          <w:rFonts w:ascii="Palatino Linotype" w:hAnsi="Palatino Linotype"/>
          <w:i/>
          <w:lang w:val="en-US"/>
        </w:rPr>
        <w:t>private</w:t>
      </w:r>
      <w:r w:rsidRPr="00DA73DB">
        <w:rPr>
          <w:rFonts w:ascii="Palatino Linotype" w:hAnsi="Palatino Linotype"/>
          <w:lang w:val="en-US"/>
        </w:rPr>
        <w:t xml:space="preserve"> </w:t>
      </w:r>
      <w:r w:rsidRPr="00DA73DB">
        <w:rPr>
          <w:rFonts w:ascii="Palatino Linotype" w:hAnsi="Palatino Linotype"/>
          <w:i/>
          <w:lang w:val="en-US"/>
        </w:rPr>
        <w:t>placement</w:t>
      </w:r>
      <w:r w:rsidRPr="00DA73DB">
        <w:rPr>
          <w:rFonts w:ascii="Palatino Linotype" w:hAnsi="Palatino Linotype"/>
          <w:lang w:val="en-US"/>
        </w:rPr>
        <w:t>.</w:t>
      </w:r>
    </w:p>
    <w:p w14:paraId="109AA01B" w14:textId="77777777" w:rsidR="00612F6D" w:rsidRPr="00DA73DB" w:rsidRDefault="00612F6D" w:rsidP="00612F6D">
      <w:pPr>
        <w:spacing w:after="0"/>
        <w:jc w:val="both"/>
        <w:rPr>
          <w:rFonts w:ascii="Palatino Linotype" w:hAnsi="Palatino Linotype"/>
        </w:rPr>
      </w:pPr>
    </w:p>
    <w:p w14:paraId="29E1E1AE" w14:textId="4D0FE4C2" w:rsidR="00107EA0" w:rsidRPr="00DA73DB" w:rsidRDefault="001D5009" w:rsidP="008F2BD7">
      <w:pPr>
        <w:pStyle w:val="ListParagraph"/>
        <w:numPr>
          <w:ilvl w:val="0"/>
          <w:numId w:val="12"/>
        </w:numPr>
        <w:spacing w:after="0" w:line="240" w:lineRule="auto"/>
        <w:ind w:left="357" w:hanging="357"/>
        <w:jc w:val="both"/>
        <w:rPr>
          <w:rFonts w:ascii="Palatino Linotype" w:hAnsi="Palatino Linotype"/>
          <w:b/>
          <w:lang w:val="nl-NL"/>
        </w:rPr>
      </w:pPr>
      <w:r w:rsidRPr="00DA73DB">
        <w:rPr>
          <w:rFonts w:ascii="Palatino Linotype" w:hAnsi="Palatino Linotype"/>
          <w:b/>
          <w:lang w:val="nl-NL"/>
        </w:rPr>
        <w:t xml:space="preserve">Kerangka Hukum </w:t>
      </w:r>
      <w:r w:rsidR="00107EA0" w:rsidRPr="00DA73DB">
        <w:rPr>
          <w:rFonts w:ascii="Palatino Linotype" w:hAnsi="Palatino Linotype"/>
          <w:b/>
          <w:i/>
          <w:lang w:val="nl-NL"/>
        </w:rPr>
        <w:t xml:space="preserve">Green </w:t>
      </w:r>
      <w:r w:rsidR="00107EA0" w:rsidRPr="00DA73DB">
        <w:rPr>
          <w:rFonts w:ascii="Palatino Linotype" w:hAnsi="Palatino Linotype"/>
          <w:b/>
          <w:lang w:val="nl-NL"/>
        </w:rPr>
        <w:t>Sukuk</w:t>
      </w:r>
      <w:r w:rsidRPr="00DA73DB">
        <w:rPr>
          <w:rFonts w:ascii="Palatino Linotype" w:hAnsi="Palatino Linotype"/>
          <w:b/>
          <w:lang w:val="nl-NL"/>
        </w:rPr>
        <w:t xml:space="preserve"> di Indonesia</w:t>
      </w:r>
    </w:p>
    <w:p w14:paraId="4B5934D6" w14:textId="47DAA467" w:rsidR="00390FAF" w:rsidRPr="00DA73DB" w:rsidRDefault="001F1631" w:rsidP="00AC7005">
      <w:pPr>
        <w:spacing w:after="0" w:line="240" w:lineRule="auto"/>
        <w:ind w:firstLine="340"/>
        <w:jc w:val="both"/>
        <w:rPr>
          <w:rFonts w:ascii="Palatino Linotype" w:hAnsi="Palatino Linotype"/>
          <w:lang w:val="nl-NL"/>
        </w:rPr>
      </w:pPr>
      <w:r w:rsidRPr="00DA73DB">
        <w:rPr>
          <w:rFonts w:ascii="Palatino Linotype" w:hAnsi="Palatino Linotype"/>
          <w:lang w:val="nl-NL"/>
        </w:rPr>
        <w:t xml:space="preserve">Komitmen Indonesia dalam menjaga lingkungan hidup merupakan salah satu fondasi utama yang diakui secara eksplisit dalam konstitusi negara, yaitu Undang-Undang Dasar Negara Republik Indonesia Tahun 1945 </w:t>
      </w:r>
      <w:r w:rsidR="002D42DF" w:rsidRPr="00DA73DB">
        <w:rPr>
          <w:rFonts w:ascii="Palatino Linotype" w:hAnsi="Palatino Linotype"/>
          <w:lang w:val="nl-NL"/>
        </w:rPr>
        <w:t>(“</w:t>
      </w:r>
      <w:r w:rsidR="002D42DF" w:rsidRPr="00DA73DB">
        <w:rPr>
          <w:rFonts w:ascii="Palatino Linotype" w:hAnsi="Palatino Linotype"/>
          <w:b/>
          <w:lang w:val="nl-NL"/>
        </w:rPr>
        <w:t>UUD 1945</w:t>
      </w:r>
      <w:r w:rsidR="002D42DF" w:rsidRPr="00DA73DB">
        <w:rPr>
          <w:rFonts w:ascii="Palatino Linotype" w:hAnsi="Palatino Linotype"/>
          <w:lang w:val="nl-NL"/>
        </w:rPr>
        <w:t>”)</w:t>
      </w:r>
      <w:r w:rsidR="00FA526D" w:rsidRPr="00DA73DB">
        <w:rPr>
          <w:rFonts w:ascii="Palatino Linotype" w:hAnsi="Palatino Linotype"/>
          <w:lang w:val="nl-NL"/>
        </w:rPr>
        <w:t xml:space="preserve">. Pasal </w:t>
      </w:r>
      <w:r w:rsidR="00D6533A" w:rsidRPr="00DA73DB">
        <w:rPr>
          <w:rFonts w:ascii="Palatino Linotype" w:hAnsi="Palatino Linotype"/>
          <w:lang w:val="nl-NL"/>
        </w:rPr>
        <w:t xml:space="preserve">28H ayat (1) </w:t>
      </w:r>
      <w:r w:rsidR="00FA526D" w:rsidRPr="00DA73DB">
        <w:rPr>
          <w:rFonts w:ascii="Palatino Linotype" w:hAnsi="Palatino Linotype"/>
          <w:lang w:val="nl-NL"/>
        </w:rPr>
        <w:t xml:space="preserve">UUD 1945 </w:t>
      </w:r>
      <w:r w:rsidR="00D6533A" w:rsidRPr="00DA73DB">
        <w:rPr>
          <w:rFonts w:ascii="Palatino Linotype" w:hAnsi="Palatino Linotype"/>
          <w:lang w:val="nl-NL"/>
        </w:rPr>
        <w:t xml:space="preserve">mengakui hak atas lingkungan yang baik dan sehat sebagai hak yang melekat pada setiap orang. </w:t>
      </w:r>
      <w:r w:rsidR="00FA526D" w:rsidRPr="00DA73DB">
        <w:rPr>
          <w:rFonts w:ascii="Palatino Linotype" w:hAnsi="Palatino Linotype"/>
          <w:lang w:val="nl-NL"/>
        </w:rPr>
        <w:t xml:space="preserve">Komitmen ini bukan hanya terwujud dalam pernyataan konstitusional, tetapi juga dituangkan secara konkret dalam </w:t>
      </w:r>
      <w:r w:rsidR="00424682" w:rsidRPr="00DA73DB">
        <w:rPr>
          <w:rFonts w:ascii="Palatino Linotype" w:hAnsi="Palatino Linotype"/>
          <w:lang w:val="nl-NL"/>
        </w:rPr>
        <w:t>Rencana Pembangunan Nasional Jangka Panjang</w:t>
      </w:r>
      <w:r w:rsidR="004D1FF8" w:rsidRPr="00DA73DB">
        <w:rPr>
          <w:rFonts w:ascii="Palatino Linotype" w:hAnsi="Palatino Linotype"/>
          <w:lang w:val="nl-NL"/>
        </w:rPr>
        <w:t xml:space="preserve"> Nasional </w:t>
      </w:r>
      <w:r w:rsidR="00D6533A" w:rsidRPr="00DA73DB">
        <w:rPr>
          <w:rFonts w:ascii="Palatino Linotype" w:hAnsi="Palatino Linotype"/>
          <w:lang w:val="nl-NL"/>
        </w:rPr>
        <w:t>(</w:t>
      </w:r>
      <w:r w:rsidR="00424682" w:rsidRPr="00DA73DB">
        <w:rPr>
          <w:rFonts w:ascii="Palatino Linotype" w:hAnsi="Palatino Linotype"/>
          <w:lang w:val="nl-NL"/>
        </w:rPr>
        <w:t>“</w:t>
      </w:r>
      <w:r w:rsidR="00D6533A" w:rsidRPr="00DA73DB">
        <w:rPr>
          <w:rFonts w:ascii="Palatino Linotype" w:hAnsi="Palatino Linotype"/>
          <w:b/>
          <w:lang w:val="nl-NL"/>
        </w:rPr>
        <w:t>RPJPN</w:t>
      </w:r>
      <w:r w:rsidR="00424682" w:rsidRPr="00DA73DB">
        <w:rPr>
          <w:rFonts w:ascii="Palatino Linotype" w:hAnsi="Palatino Linotype"/>
          <w:lang w:val="nl-NL"/>
        </w:rPr>
        <w:t>”</w:t>
      </w:r>
      <w:r w:rsidR="00595225" w:rsidRPr="00DA73DB">
        <w:rPr>
          <w:rFonts w:ascii="Palatino Linotype" w:hAnsi="Palatino Linotype"/>
          <w:lang w:val="nl-NL"/>
        </w:rPr>
        <w:t>) tahun 2005 – 2025 yang disahkan dengan diundangkannya Undang-Undang Nomor 17 Tahun 2007 tentang Rencana Pembangunan Jangka Panjang Nasional Tahun 2005 – 2025. RPJPN tahun 2005 – 2025 merupakan penjabaran lebih lanjut dari tujuan bernegara dalam UUD 1945 serta memuat visi dan misi pembangunan dari negara Indonesia.</w:t>
      </w:r>
      <w:r w:rsidR="001D0B27" w:rsidRPr="00DA73DB">
        <w:rPr>
          <w:rStyle w:val="FootnoteReference"/>
          <w:rFonts w:ascii="Palatino Linotype" w:hAnsi="Palatino Linotype"/>
        </w:rPr>
        <w:footnoteReference w:id="48"/>
      </w:r>
    </w:p>
    <w:p w14:paraId="071167F1" w14:textId="383A167E" w:rsidR="00422200" w:rsidRPr="00DA73DB" w:rsidRDefault="00422200" w:rsidP="00AC7005">
      <w:pPr>
        <w:spacing w:after="0" w:line="240" w:lineRule="auto"/>
        <w:ind w:firstLine="340"/>
        <w:jc w:val="both"/>
        <w:rPr>
          <w:rFonts w:ascii="Palatino Linotype" w:hAnsi="Palatino Linotype"/>
          <w:lang w:val="nl-NL"/>
        </w:rPr>
      </w:pPr>
      <w:r w:rsidRPr="00DA73DB">
        <w:rPr>
          <w:rFonts w:ascii="Palatino Linotype" w:hAnsi="Palatino Linotype"/>
          <w:lang w:val="nl-NL"/>
        </w:rPr>
        <w:t xml:space="preserve">Visi yang ditetapkan dalam RPJPN tersebut </w:t>
      </w:r>
      <w:r w:rsidR="0027276B" w:rsidRPr="00DA73DB">
        <w:rPr>
          <w:rFonts w:ascii="Palatino Linotype" w:hAnsi="Palatino Linotype"/>
          <w:lang w:val="nl-NL"/>
        </w:rPr>
        <w:t>adalah</w:t>
      </w:r>
      <w:r w:rsidRPr="00DA73DB">
        <w:rPr>
          <w:rFonts w:ascii="Palatino Linotype" w:hAnsi="Palatino Linotype"/>
          <w:lang w:val="nl-NL"/>
        </w:rPr>
        <w:t xml:space="preserve"> Visi Indonesia yang Mandiri, Maju, Adil, dan Makmur. </w:t>
      </w:r>
      <w:r w:rsidR="0027276B" w:rsidRPr="00DA73DB">
        <w:rPr>
          <w:rFonts w:ascii="Palatino Linotype" w:hAnsi="Palatino Linotype"/>
          <w:lang w:val="nl-NL"/>
        </w:rPr>
        <w:t>Untuk</w:t>
      </w:r>
      <w:r w:rsidRPr="00DA73DB">
        <w:rPr>
          <w:rFonts w:ascii="Palatino Linotype" w:hAnsi="Palatino Linotype"/>
          <w:lang w:val="nl-NL"/>
        </w:rPr>
        <w:t xml:space="preserve"> mewujudkan visi tersebut, Indonesia menetapkan delapan misi pembangunan. </w:t>
      </w:r>
      <w:r w:rsidR="00744711" w:rsidRPr="00DA73DB">
        <w:rPr>
          <w:rFonts w:ascii="Palatino Linotype" w:hAnsi="Palatino Linotype"/>
          <w:lang w:val="nl-NL"/>
        </w:rPr>
        <w:t>Dalam b</w:t>
      </w:r>
      <w:r w:rsidRPr="00DA73DB">
        <w:rPr>
          <w:rFonts w:ascii="Palatino Linotype" w:hAnsi="Palatino Linotype"/>
          <w:lang w:val="nl-NL"/>
        </w:rPr>
        <w:t xml:space="preserve">utir keenam misi pembangunan, Indonesia mengadopsi lingkungan melalui misi “mewujudkan Indonesia yang asri dan lestari”. </w:t>
      </w:r>
      <w:r w:rsidR="00424682" w:rsidRPr="00DA73DB">
        <w:rPr>
          <w:rFonts w:ascii="Palatino Linotype" w:hAnsi="Palatino Linotype"/>
          <w:lang w:val="nl-NL"/>
        </w:rPr>
        <w:t>Melalui misi keenam ini, Indonesia berkomitmen untuk menjaga keseimbangan antara pemanfaatan sumber daya alam dengan kelestarian lingkungan hidup, guna memastikan pemenuhan kebutuhan generasi saat ini tanpa mengorbankan kemampuan generasi mendatang untuk memenuhi kebutuhannya. Pendekatan ini mencerminkan prinsip pembangunan berkelanjutan (</w:t>
      </w:r>
      <w:r w:rsidR="00424682" w:rsidRPr="00DA73DB">
        <w:rPr>
          <w:rFonts w:ascii="Palatino Linotype" w:hAnsi="Palatino Linotype"/>
          <w:i/>
          <w:lang w:val="nl-NL"/>
        </w:rPr>
        <w:t>sustainable</w:t>
      </w:r>
      <w:r w:rsidR="00424682" w:rsidRPr="00DA73DB">
        <w:rPr>
          <w:rFonts w:ascii="Palatino Linotype" w:hAnsi="Palatino Linotype"/>
          <w:lang w:val="nl-NL"/>
        </w:rPr>
        <w:t xml:space="preserve"> </w:t>
      </w:r>
      <w:r w:rsidR="00424682" w:rsidRPr="00DA73DB">
        <w:rPr>
          <w:rFonts w:ascii="Palatino Linotype" w:hAnsi="Palatino Linotype"/>
          <w:i/>
          <w:lang w:val="nl-NL"/>
        </w:rPr>
        <w:t>development</w:t>
      </w:r>
      <w:r w:rsidR="00424682" w:rsidRPr="00DA73DB">
        <w:rPr>
          <w:rFonts w:ascii="Palatino Linotype" w:hAnsi="Palatino Linotype"/>
          <w:lang w:val="nl-NL"/>
        </w:rPr>
        <w:t>), di mana pembangunan harus dilakukan dengan memperhatikan daya dukung dan daya tampung lingkungan agar tidak menimbulkan degradasi ekosistem.</w:t>
      </w:r>
    </w:p>
    <w:p w14:paraId="45CC31CF" w14:textId="67D27820" w:rsidR="00610017" w:rsidRPr="00DA73DB" w:rsidRDefault="00E5271C" w:rsidP="00AC7005">
      <w:pPr>
        <w:spacing w:after="0" w:line="240" w:lineRule="auto"/>
        <w:ind w:firstLine="340"/>
        <w:jc w:val="both"/>
        <w:rPr>
          <w:rFonts w:ascii="Palatino Linotype" w:hAnsi="Palatino Linotype"/>
          <w:lang w:val="nl-NL"/>
        </w:rPr>
      </w:pPr>
      <w:r w:rsidRPr="00DA73DB">
        <w:rPr>
          <w:rFonts w:ascii="Palatino Linotype" w:hAnsi="Palatino Linotype"/>
          <w:lang w:val="nl-NL"/>
        </w:rPr>
        <w:t>RPJPN ini selanjutnya dijabarkan dalam Rencana Pembangunan Jangka Menengah Nasional (“</w:t>
      </w:r>
      <w:r w:rsidRPr="00DA73DB">
        <w:rPr>
          <w:rFonts w:ascii="Palatino Linotype" w:hAnsi="Palatino Linotype"/>
          <w:b/>
          <w:lang w:val="nl-NL"/>
        </w:rPr>
        <w:t>RPJMN</w:t>
      </w:r>
      <w:r w:rsidRPr="00DA73DB">
        <w:rPr>
          <w:rFonts w:ascii="Palatino Linotype" w:hAnsi="Palatino Linotype"/>
          <w:lang w:val="nl-NL"/>
        </w:rPr>
        <w:t>”), yang disusun untuk jangka waktu lima tahun dan diatur melalui Peraturan Presiden. Dalam RPJMN 2015-2019, yang ditetapkan melalui Peraturan Presiden Nomor 2 Tahun 2015, salah satu misi pembangunan adalah "mewujudkan kualitas hidup manusia Indonesia yang tinggi, maju, dan sejahtera."</w:t>
      </w:r>
      <w:r w:rsidR="00D3629D" w:rsidRPr="00DA73DB">
        <w:rPr>
          <w:rStyle w:val="FootnoteReference"/>
          <w:rFonts w:ascii="Palatino Linotype" w:hAnsi="Palatino Linotype"/>
        </w:rPr>
        <w:footnoteReference w:id="49"/>
      </w:r>
      <w:r w:rsidRPr="00DA73DB">
        <w:rPr>
          <w:rFonts w:ascii="Palatino Linotype" w:hAnsi="Palatino Linotype"/>
          <w:lang w:val="nl-NL"/>
        </w:rPr>
        <w:t xml:space="preserve"> Visi ini disertai dengan strategi untuk meningkatkan kualitas hidup seluruh rakyat Indonesia, khususnya lapisan menengah ke bawah, </w:t>
      </w:r>
      <w:r w:rsidR="00336372" w:rsidRPr="00DA73DB">
        <w:rPr>
          <w:rFonts w:ascii="Palatino Linotype" w:hAnsi="Palatino Linotype"/>
          <w:lang w:val="nl-NL"/>
        </w:rPr>
        <w:t>dengan</w:t>
      </w:r>
      <w:r w:rsidRPr="00DA73DB">
        <w:rPr>
          <w:rFonts w:ascii="Palatino Linotype" w:hAnsi="Palatino Linotype"/>
          <w:lang w:val="nl-NL"/>
        </w:rPr>
        <w:t xml:space="preserve"> tetap menjaga keberlanjutan lingkungan. Strategi ini menegaskan bahwa pembangunan tidak boleh menciptakan ketimpangan yang lebih besar atau merusak kualitas lingkungan hidup</w:t>
      </w:r>
      <w:r w:rsidR="00694A3F" w:rsidRPr="00DA73DB">
        <w:rPr>
          <w:rFonts w:ascii="Palatino Linotype" w:hAnsi="Palatino Linotype"/>
          <w:lang w:val="nl-NL"/>
        </w:rPr>
        <w:t xml:space="preserve">.  </w:t>
      </w:r>
    </w:p>
    <w:p w14:paraId="6486B116" w14:textId="76B2B21F" w:rsidR="00C21B55" w:rsidRPr="00DA73DB" w:rsidRDefault="002823F3" w:rsidP="0045726F">
      <w:pPr>
        <w:spacing w:after="0" w:line="240" w:lineRule="auto"/>
        <w:ind w:firstLine="340"/>
        <w:jc w:val="both"/>
        <w:rPr>
          <w:rFonts w:ascii="Palatino Linotype" w:hAnsi="Palatino Linotype"/>
          <w:lang w:val="nl-NL"/>
        </w:rPr>
      </w:pPr>
      <w:r w:rsidRPr="00DA73DB">
        <w:rPr>
          <w:rFonts w:ascii="Palatino Linotype" w:hAnsi="Palatino Linotype"/>
          <w:lang w:val="nl-NL"/>
        </w:rPr>
        <w:t>Melanjutkan arah kebijakan tersebut, RPJMN 2020-2024 yang disahkan melalui Peraturan Presiden Nomor 18 Tahun 2020 semakin mempertegas pentingnya aspek lingkungan dalam agenda pembangunan nasional. Salah satu misi utama dalam RPJMN 2020-2024 adalah "mencapai lingkungan hidup yang berkelanjutan,"</w:t>
      </w:r>
      <w:r w:rsidR="004813F6" w:rsidRPr="00DA73DB">
        <w:rPr>
          <w:rStyle w:val="FootnoteReference"/>
          <w:rFonts w:ascii="Palatino Linotype" w:hAnsi="Palatino Linotype"/>
        </w:rPr>
        <w:footnoteReference w:id="50"/>
      </w:r>
      <w:r w:rsidRPr="00DA73DB">
        <w:rPr>
          <w:rFonts w:ascii="Palatino Linotype" w:hAnsi="Palatino Linotype"/>
          <w:lang w:val="nl-NL"/>
        </w:rPr>
        <w:t xml:space="preserve"> dengan fokus pada pengelolaan sumber daya alam yang berkelanjutan, peningkatan ketahanan terhadap bencana, dan mitigasi perubahan iklim. Agenda pembangunan ini juga menekankan pentingnya daya dukung sumber daya alam dan daya tampung lingkungan hidup, serta perlunya meningkatkan kesiapan menghadapi kerentanan bencana dan perubahan iklim yang semakin nyata dampaknya.</w:t>
      </w:r>
    </w:p>
    <w:p w14:paraId="1C6FE2C2" w14:textId="16656E5D" w:rsidR="009C7167" w:rsidRPr="00DA73DB" w:rsidRDefault="000A0AC0" w:rsidP="0045726F">
      <w:pPr>
        <w:spacing w:after="0" w:line="240" w:lineRule="auto"/>
        <w:ind w:firstLine="340"/>
        <w:jc w:val="both"/>
        <w:rPr>
          <w:rFonts w:ascii="Palatino Linotype" w:hAnsi="Palatino Linotype"/>
          <w:lang w:val="nl-NL"/>
        </w:rPr>
      </w:pPr>
      <w:r w:rsidRPr="00DA73DB">
        <w:rPr>
          <w:rFonts w:ascii="Palatino Linotype" w:hAnsi="Palatino Linotype"/>
          <w:lang w:val="nl-NL"/>
        </w:rPr>
        <w:t>Dalam rangka mewujudkan cita-cita pembangunan yang berkelanjutan dan berwawasan lingkungan, maka diperlukan aliran pendanaan yang berkesinambungan dan selaras dengan tujuan pembangunan berkelanjutan.</w:t>
      </w:r>
      <w:r w:rsidR="0022287F" w:rsidRPr="00DA73DB">
        <w:rPr>
          <w:rFonts w:ascii="Palatino Linotype" w:hAnsi="Palatino Linotype"/>
          <w:lang w:val="nl-NL"/>
        </w:rPr>
        <w:t xml:space="preserve"> OJK sebagai regulator pelaku usaha jasa keuangan menerbitkan </w:t>
      </w:r>
      <w:r w:rsidR="0022287F" w:rsidRPr="00DA73DB">
        <w:rPr>
          <w:rFonts w:ascii="Palatino Linotype" w:hAnsi="Palatino Linotype"/>
          <w:i/>
          <w:lang w:val="nl-NL"/>
        </w:rPr>
        <w:t xml:space="preserve">roadmap </w:t>
      </w:r>
      <w:r w:rsidR="0022287F" w:rsidRPr="00DA73DB">
        <w:rPr>
          <w:rFonts w:ascii="Palatino Linotype" w:hAnsi="Palatino Linotype"/>
          <w:lang w:val="nl-NL"/>
        </w:rPr>
        <w:t>keuangan berkelanjutan yang merupakan bagian dari Master Plan Jasa Sektor Keuangan</w:t>
      </w:r>
      <w:r w:rsidR="00AE7EDA" w:rsidRPr="00DA73DB">
        <w:rPr>
          <w:rFonts w:ascii="Palatino Linotype" w:hAnsi="Palatino Linotype"/>
          <w:lang w:val="nl-NL"/>
        </w:rPr>
        <w:t xml:space="preserve"> Indonesia</w:t>
      </w:r>
      <w:r w:rsidR="000F3931" w:rsidRPr="00DA73DB">
        <w:rPr>
          <w:rFonts w:ascii="Palatino Linotype" w:hAnsi="Palatino Linotype"/>
          <w:lang w:val="nl-NL"/>
        </w:rPr>
        <w:t>.</w:t>
      </w:r>
      <w:r w:rsidR="000F3931" w:rsidRPr="00DA73DB">
        <w:rPr>
          <w:rStyle w:val="FootnoteReference"/>
          <w:rFonts w:ascii="Palatino Linotype" w:hAnsi="Palatino Linotype"/>
        </w:rPr>
        <w:footnoteReference w:id="51"/>
      </w:r>
      <w:r w:rsidR="00245CB3" w:rsidRPr="00DA73DB">
        <w:rPr>
          <w:rFonts w:ascii="Palatino Linotype" w:hAnsi="Palatino Linotype"/>
          <w:lang w:val="nl-NL"/>
        </w:rPr>
        <w:t xml:space="preserve"> </w:t>
      </w:r>
      <w:r w:rsidR="00245CB3" w:rsidRPr="00DA73DB">
        <w:rPr>
          <w:rFonts w:ascii="Palatino Linotype" w:hAnsi="Palatino Linotype"/>
          <w:i/>
          <w:lang w:val="nl-NL"/>
        </w:rPr>
        <w:t xml:space="preserve">Roadmap </w:t>
      </w:r>
      <w:r w:rsidR="00245CB3" w:rsidRPr="00DA73DB">
        <w:rPr>
          <w:rFonts w:ascii="Palatino Linotype" w:hAnsi="Palatino Linotype"/>
          <w:lang w:val="nl-NL"/>
        </w:rPr>
        <w:t>Keuangan Berkelanjutan berisi paparan rencana kerja program keuangan berkelanjutan untuk industri jasa keuangan yang berada di bawah otoritas OJK</w:t>
      </w:r>
      <w:r w:rsidR="0099202A" w:rsidRPr="00DA73DB">
        <w:rPr>
          <w:rFonts w:ascii="Palatino Linotype" w:hAnsi="Palatino Linotype"/>
          <w:lang w:val="nl-NL"/>
        </w:rPr>
        <w:t xml:space="preserve"> dan saat ini terbagi dalam dua tahap, yaitu Tahap I untuk periode 2015 – 2019 dan Tahap II untuk periode 2021 – 2025.</w:t>
      </w:r>
      <w:r w:rsidR="00F738E1" w:rsidRPr="00DA73DB">
        <w:rPr>
          <w:rFonts w:ascii="Palatino Linotype" w:hAnsi="Palatino Linotype"/>
          <w:lang w:val="nl-NL"/>
        </w:rPr>
        <w:t xml:space="preserve"> </w:t>
      </w:r>
      <w:r w:rsidR="00F738E1" w:rsidRPr="00DA73DB">
        <w:rPr>
          <w:rFonts w:ascii="Palatino Linotype" w:hAnsi="Palatino Linotype"/>
          <w:i/>
          <w:lang w:val="nl-NL"/>
        </w:rPr>
        <w:t xml:space="preserve">Roadmap </w:t>
      </w:r>
      <w:r w:rsidR="00F738E1" w:rsidRPr="00DA73DB">
        <w:rPr>
          <w:rFonts w:ascii="Palatino Linotype" w:hAnsi="Palatino Linotype"/>
          <w:lang w:val="nl-NL"/>
        </w:rPr>
        <w:t>ini disusun sebagai rencana kerja industri jasa keuangan untuk mendukung pencapaian keuangan berkelanjutan dalam rangka mewujudkan pertumbuhan berkelanjutan yang dihasilkan dari keselarasan kepentingan ekonomi, sosial, dan lingkungan hidup.</w:t>
      </w:r>
      <w:r w:rsidR="00191A9C" w:rsidRPr="00DA73DB">
        <w:rPr>
          <w:rStyle w:val="FootnoteReference"/>
          <w:rFonts w:ascii="Palatino Linotype" w:hAnsi="Palatino Linotype"/>
        </w:rPr>
        <w:footnoteReference w:id="52"/>
      </w:r>
    </w:p>
    <w:p w14:paraId="47A87A59" w14:textId="5AD70126" w:rsidR="0045756D" w:rsidRPr="00DA73DB" w:rsidRDefault="00D476A9" w:rsidP="0045726F">
      <w:pPr>
        <w:spacing w:after="0" w:line="240" w:lineRule="auto"/>
        <w:ind w:firstLine="340"/>
        <w:jc w:val="both"/>
        <w:rPr>
          <w:rFonts w:ascii="Palatino Linotype" w:hAnsi="Palatino Linotype"/>
          <w:lang w:val="nl-NL"/>
        </w:rPr>
      </w:pPr>
      <w:r w:rsidRPr="00DA73DB">
        <w:rPr>
          <w:rFonts w:ascii="Palatino Linotype" w:hAnsi="Palatino Linotype"/>
          <w:lang w:val="nl-NL"/>
        </w:rPr>
        <w:t xml:space="preserve">Indonesia telah mengembangkan skema pendanaan </w:t>
      </w:r>
      <w:r w:rsidR="00A36C39" w:rsidRPr="00DA73DB">
        <w:rPr>
          <w:rFonts w:ascii="Palatino Linotype" w:hAnsi="Palatino Linotype"/>
          <w:lang w:val="nl-NL"/>
        </w:rPr>
        <w:t xml:space="preserve">yang khusus ditujukan bagi upaya pembangunan berkelanjutan, termasuk di antaranya instrumen </w:t>
      </w:r>
      <w:r w:rsidR="008C438F" w:rsidRPr="00DA73DB">
        <w:rPr>
          <w:rFonts w:ascii="Palatino Linotype" w:hAnsi="Palatino Linotype"/>
          <w:lang w:val="nl-NL"/>
        </w:rPr>
        <w:t>sukuk berwawasan lingkungan (</w:t>
      </w:r>
      <w:r w:rsidR="008C438F" w:rsidRPr="00DA73DB">
        <w:rPr>
          <w:rFonts w:ascii="Palatino Linotype" w:hAnsi="Palatino Linotype"/>
          <w:i/>
          <w:lang w:val="nl-NL"/>
        </w:rPr>
        <w:t>g</w:t>
      </w:r>
      <w:r w:rsidR="00A36C39" w:rsidRPr="00DA73DB">
        <w:rPr>
          <w:rFonts w:ascii="Palatino Linotype" w:hAnsi="Palatino Linotype"/>
          <w:i/>
          <w:lang w:val="nl-NL"/>
        </w:rPr>
        <w:t xml:space="preserve">reen </w:t>
      </w:r>
      <w:r w:rsidR="00A36C39" w:rsidRPr="00DA73DB">
        <w:rPr>
          <w:rFonts w:ascii="Palatino Linotype" w:hAnsi="Palatino Linotype"/>
          <w:lang w:val="nl-NL"/>
        </w:rPr>
        <w:t>Sukuk</w:t>
      </w:r>
      <w:r w:rsidR="008C438F" w:rsidRPr="00DA73DB">
        <w:rPr>
          <w:rFonts w:ascii="Palatino Linotype" w:hAnsi="Palatino Linotype"/>
          <w:lang w:val="nl-NL"/>
        </w:rPr>
        <w:t>)</w:t>
      </w:r>
      <w:r w:rsidR="00B762A7" w:rsidRPr="00DA73DB">
        <w:rPr>
          <w:rFonts w:ascii="Palatino Linotype" w:hAnsi="Palatino Linotype"/>
          <w:lang w:val="nl-NL"/>
        </w:rPr>
        <w:t xml:space="preserve"> yang diatur</w:t>
      </w:r>
      <w:r w:rsidR="00BA62A6" w:rsidRPr="00DA73DB">
        <w:rPr>
          <w:rFonts w:ascii="Palatino Linotype" w:hAnsi="Palatino Linotype"/>
          <w:lang w:val="nl-NL"/>
        </w:rPr>
        <w:t xml:space="preserve"> dalam Peraturan Otoritas Jasa Keuangan Nomor 18 Tahun 2023 tentang Penerbitan dan Persyaratan Efek Bersifat Utang Dan Sukuk Berlandaskan Keberlanjutan (“</w:t>
      </w:r>
      <w:r w:rsidR="00BA62A6" w:rsidRPr="00DA73DB">
        <w:rPr>
          <w:rFonts w:ascii="Palatino Linotype" w:hAnsi="Palatino Linotype"/>
          <w:b/>
          <w:lang w:val="nl-NL"/>
        </w:rPr>
        <w:t>POJK No. 18/2023</w:t>
      </w:r>
      <w:r w:rsidR="00BA62A6" w:rsidRPr="00DA73DB">
        <w:rPr>
          <w:rFonts w:ascii="Palatino Linotype" w:hAnsi="Palatino Linotype"/>
          <w:lang w:val="nl-NL"/>
        </w:rPr>
        <w:t>”)</w:t>
      </w:r>
      <w:r w:rsidR="00A36C39" w:rsidRPr="00DA73DB">
        <w:rPr>
          <w:rFonts w:ascii="Palatino Linotype" w:hAnsi="Palatino Linotype"/>
          <w:lang w:val="nl-NL"/>
        </w:rPr>
        <w:t>.</w:t>
      </w:r>
      <w:r w:rsidR="00B44155" w:rsidRPr="00DA73DB">
        <w:rPr>
          <w:rStyle w:val="FootnoteReference"/>
          <w:rFonts w:ascii="Palatino Linotype" w:hAnsi="Palatino Linotype"/>
        </w:rPr>
        <w:footnoteReference w:id="53"/>
      </w:r>
      <w:r w:rsidR="009A5D7A" w:rsidRPr="00DA73DB">
        <w:rPr>
          <w:rFonts w:ascii="Palatino Linotype" w:hAnsi="Palatino Linotype"/>
          <w:lang w:val="nl-NL"/>
        </w:rPr>
        <w:t xml:space="preserve"> </w:t>
      </w:r>
      <w:r w:rsidR="008C438F" w:rsidRPr="00DA73DB">
        <w:rPr>
          <w:rFonts w:ascii="Palatino Linotype" w:hAnsi="Palatino Linotype"/>
          <w:i/>
          <w:lang w:val="nl-NL"/>
        </w:rPr>
        <w:t>Green sukuk</w:t>
      </w:r>
      <w:r w:rsidR="008C438F" w:rsidRPr="00DA73DB">
        <w:rPr>
          <w:rFonts w:ascii="Palatino Linotype" w:hAnsi="Palatino Linotype"/>
          <w:lang w:val="nl-NL"/>
        </w:rPr>
        <w:t xml:space="preserve"> merupakan sukuk yang dana hasil penerbitannya digunakan untuk pembiayaan atau pembiayaan ulang kegiatan usaha berwawasan lingkungan.</w:t>
      </w:r>
      <w:r w:rsidR="00BA62A6" w:rsidRPr="00DA73DB">
        <w:rPr>
          <w:rStyle w:val="FootnoteReference"/>
          <w:rFonts w:ascii="Palatino Linotype" w:hAnsi="Palatino Linotype"/>
        </w:rPr>
        <w:footnoteReference w:id="54"/>
      </w:r>
      <w:r w:rsidR="00592751" w:rsidRPr="00DA73DB">
        <w:rPr>
          <w:rFonts w:ascii="Palatino Linotype" w:hAnsi="Palatino Linotype"/>
          <w:lang w:val="nl-NL"/>
        </w:rPr>
        <w:t xml:space="preserve"> </w:t>
      </w:r>
      <w:r w:rsidR="00163E90" w:rsidRPr="00DA73DB">
        <w:rPr>
          <w:rFonts w:ascii="Palatino Linotype" w:hAnsi="Palatino Linotype"/>
          <w:i/>
          <w:lang w:val="nl-NL"/>
        </w:rPr>
        <w:t>Green</w:t>
      </w:r>
      <w:r w:rsidR="00163E90" w:rsidRPr="00DA73DB">
        <w:rPr>
          <w:rFonts w:ascii="Palatino Linotype" w:hAnsi="Palatino Linotype"/>
          <w:lang w:val="nl-NL"/>
        </w:rPr>
        <w:t xml:space="preserve"> sukuk diterbitkan untuk mendukung pendanaan proyek pelestarian lingkungan dan keuangan berkelanjutan, dengan tujuan mendorong pertumbuhan ekonomi yang ramah lingkungan dan berkelanjutan</w:t>
      </w:r>
      <w:r w:rsidR="005F261D" w:rsidRPr="00DA73DB">
        <w:rPr>
          <w:rFonts w:ascii="Palatino Linotype" w:hAnsi="Palatino Linotype"/>
          <w:lang w:val="nl-NL"/>
        </w:rPr>
        <w:t>.</w:t>
      </w:r>
      <w:r w:rsidR="005F261D" w:rsidRPr="00DA73DB">
        <w:rPr>
          <w:rStyle w:val="FootnoteReference"/>
          <w:rFonts w:ascii="Palatino Linotype" w:hAnsi="Palatino Linotype"/>
        </w:rPr>
        <w:footnoteReference w:id="55"/>
      </w:r>
      <w:r w:rsidR="005F261D" w:rsidRPr="00DA73DB">
        <w:rPr>
          <w:rFonts w:ascii="Palatino Linotype" w:hAnsi="Palatino Linotype"/>
          <w:lang w:val="nl-NL"/>
        </w:rPr>
        <w:t xml:space="preserve"> </w:t>
      </w:r>
    </w:p>
    <w:p w14:paraId="363FB4AF" w14:textId="4D611151" w:rsidR="00C36009" w:rsidRPr="00DA73DB" w:rsidRDefault="00DB655B" w:rsidP="0045726F">
      <w:pPr>
        <w:spacing w:after="0" w:line="240" w:lineRule="auto"/>
        <w:ind w:firstLine="340"/>
        <w:jc w:val="both"/>
        <w:rPr>
          <w:rFonts w:ascii="Palatino Linotype" w:hAnsi="Palatino Linotype"/>
        </w:rPr>
      </w:pPr>
      <w:r w:rsidRPr="00DA73DB">
        <w:rPr>
          <w:rFonts w:ascii="Palatino Linotype" w:hAnsi="Palatino Linotype"/>
          <w:lang w:val="nl-NL"/>
        </w:rPr>
        <w:t xml:space="preserve">Berhubung </w:t>
      </w:r>
      <w:r w:rsidRPr="00DA73DB">
        <w:rPr>
          <w:rFonts w:ascii="Palatino Linotype" w:hAnsi="Palatino Linotype"/>
          <w:i/>
          <w:lang w:val="nl-NL"/>
        </w:rPr>
        <w:t xml:space="preserve">green </w:t>
      </w:r>
      <w:r w:rsidRPr="00DA73DB">
        <w:rPr>
          <w:rFonts w:ascii="Palatino Linotype" w:hAnsi="Palatino Linotype"/>
          <w:lang w:val="nl-NL"/>
        </w:rPr>
        <w:t>sukuk</w:t>
      </w:r>
      <w:r w:rsidRPr="00DA73DB">
        <w:rPr>
          <w:rFonts w:ascii="Palatino Linotype" w:hAnsi="Palatino Linotype"/>
          <w:i/>
          <w:lang w:val="nl-NL"/>
        </w:rPr>
        <w:t xml:space="preserve"> </w:t>
      </w:r>
      <w:r w:rsidRPr="00DA73DB">
        <w:rPr>
          <w:rFonts w:ascii="Palatino Linotype" w:hAnsi="Palatino Linotype"/>
          <w:lang w:val="nl-NL"/>
        </w:rPr>
        <w:t xml:space="preserve">merupakan produk baru dalam pasar modal Indonesia, maka penyusunan pengaturan </w:t>
      </w:r>
      <w:r w:rsidRPr="00DA73DB">
        <w:rPr>
          <w:rFonts w:ascii="Palatino Linotype" w:hAnsi="Palatino Linotype"/>
          <w:i/>
          <w:lang w:val="nl-NL"/>
        </w:rPr>
        <w:t xml:space="preserve">green </w:t>
      </w:r>
      <w:r w:rsidRPr="00DA73DB">
        <w:rPr>
          <w:rFonts w:ascii="Palatino Linotype" w:hAnsi="Palatino Linotype"/>
          <w:lang w:val="nl-NL"/>
        </w:rPr>
        <w:t>sukuk</w:t>
      </w:r>
      <w:r w:rsidR="005101AF" w:rsidRPr="00DA73DB">
        <w:rPr>
          <w:rFonts w:ascii="Palatino Linotype" w:hAnsi="Palatino Linotype"/>
          <w:lang w:val="nl-NL"/>
        </w:rPr>
        <w:t xml:space="preserve"> ini mengacu kepada standar penerbitan sukuk berlandaskan keberlanjutan yang diterbitkan oleh </w:t>
      </w:r>
      <w:r w:rsidR="005101AF" w:rsidRPr="00DA73DB">
        <w:rPr>
          <w:rFonts w:ascii="Palatino Linotype" w:hAnsi="Palatino Linotype"/>
          <w:i/>
          <w:lang w:val="nl-NL"/>
        </w:rPr>
        <w:t>The International Capital Market Association</w:t>
      </w:r>
      <w:r w:rsidR="005101AF" w:rsidRPr="00DA73DB">
        <w:rPr>
          <w:rFonts w:ascii="Palatino Linotype" w:hAnsi="Palatino Linotype"/>
          <w:lang w:val="nl-NL"/>
        </w:rPr>
        <w:t xml:space="preserve"> (</w:t>
      </w:r>
      <w:r w:rsidR="00CC2739" w:rsidRPr="00DA73DB">
        <w:rPr>
          <w:rFonts w:ascii="Palatino Linotype" w:hAnsi="Palatino Linotype"/>
          <w:lang w:val="nl-NL"/>
        </w:rPr>
        <w:t>“</w:t>
      </w:r>
      <w:r w:rsidR="005101AF" w:rsidRPr="00DA73DB">
        <w:rPr>
          <w:rFonts w:ascii="Palatino Linotype" w:hAnsi="Palatino Linotype"/>
          <w:b/>
          <w:lang w:val="nl-NL"/>
        </w:rPr>
        <w:t>ICMA</w:t>
      </w:r>
      <w:r w:rsidR="00CC2739" w:rsidRPr="00DA73DB">
        <w:rPr>
          <w:rFonts w:ascii="Palatino Linotype" w:hAnsi="Palatino Linotype"/>
          <w:lang w:val="nl-NL"/>
        </w:rPr>
        <w:t>”</w:t>
      </w:r>
      <w:r w:rsidR="005101AF" w:rsidRPr="00DA73DB">
        <w:rPr>
          <w:rFonts w:ascii="Palatino Linotype" w:hAnsi="Palatino Linotype"/>
          <w:lang w:val="nl-NL"/>
        </w:rPr>
        <w:t>).</w:t>
      </w:r>
      <w:r w:rsidR="00D06F8A" w:rsidRPr="00DA73DB">
        <w:rPr>
          <w:rStyle w:val="FootnoteReference"/>
          <w:rFonts w:ascii="Palatino Linotype" w:hAnsi="Palatino Linotype"/>
        </w:rPr>
        <w:footnoteReference w:id="56"/>
      </w:r>
      <w:r w:rsidR="00EC46C7" w:rsidRPr="00DA73DB">
        <w:rPr>
          <w:rFonts w:ascii="Palatino Linotype" w:hAnsi="Palatino Linotype"/>
          <w:lang w:val="nl-NL"/>
        </w:rPr>
        <w:t xml:space="preserve"> </w:t>
      </w:r>
      <w:r w:rsidR="00EA2A0A" w:rsidRPr="00DA73DB">
        <w:rPr>
          <w:rFonts w:ascii="Palatino Linotype" w:hAnsi="Palatino Linotype"/>
          <w:lang w:val="nl-NL"/>
        </w:rPr>
        <w:t xml:space="preserve">Kementerian Keuangan </w:t>
      </w:r>
      <w:r w:rsidR="006E372A" w:rsidRPr="00DA73DB">
        <w:rPr>
          <w:rFonts w:ascii="Palatino Linotype" w:hAnsi="Palatino Linotype"/>
          <w:lang w:val="nl-NL"/>
        </w:rPr>
        <w:t xml:space="preserve">telah mengembangkan </w:t>
      </w:r>
      <w:r w:rsidR="006E372A" w:rsidRPr="00DA73DB">
        <w:rPr>
          <w:rFonts w:ascii="Palatino Linotype" w:hAnsi="Palatino Linotype"/>
          <w:i/>
          <w:lang w:val="nl-NL"/>
        </w:rPr>
        <w:t>green sukuk framework</w:t>
      </w:r>
      <w:r w:rsidR="006E372A" w:rsidRPr="00DA73DB">
        <w:rPr>
          <w:rFonts w:ascii="Palatino Linotype" w:hAnsi="Palatino Linotype"/>
          <w:lang w:val="nl-NL"/>
        </w:rPr>
        <w:t xml:space="preserve"> sebagai landasan penerbitan </w:t>
      </w:r>
      <w:r w:rsidR="006E372A" w:rsidRPr="00DA73DB">
        <w:rPr>
          <w:rFonts w:ascii="Palatino Linotype" w:hAnsi="Palatino Linotype"/>
          <w:i/>
          <w:lang w:val="nl-NL"/>
        </w:rPr>
        <w:t xml:space="preserve">green </w:t>
      </w:r>
      <w:r w:rsidR="006E372A" w:rsidRPr="00DA73DB">
        <w:rPr>
          <w:rFonts w:ascii="Palatino Linotype" w:hAnsi="Palatino Linotype"/>
          <w:lang w:val="nl-NL"/>
        </w:rPr>
        <w:t>sukuk</w:t>
      </w:r>
      <w:r w:rsidR="007D1969" w:rsidRPr="00DA73DB">
        <w:rPr>
          <w:rFonts w:ascii="Palatino Linotype" w:hAnsi="Palatino Linotype"/>
          <w:lang w:val="nl-NL"/>
        </w:rPr>
        <w:t xml:space="preserve"> </w:t>
      </w:r>
      <w:r w:rsidR="0036700B" w:rsidRPr="00DA73DB">
        <w:rPr>
          <w:rFonts w:ascii="Palatino Linotype" w:hAnsi="Palatino Linotype"/>
          <w:lang w:val="nl-NL"/>
        </w:rPr>
        <w:t>yang sesuai dengan prinsip-prinsip Green Bond yang ditetapkan oleh ICMA</w:t>
      </w:r>
      <w:r w:rsidR="00AE7136" w:rsidRPr="00DA73DB">
        <w:rPr>
          <w:rFonts w:ascii="Palatino Linotype" w:hAnsi="Palatino Linotype"/>
          <w:lang w:val="nl-NL"/>
        </w:rPr>
        <w:t>.</w:t>
      </w:r>
      <w:r w:rsidR="007D1969" w:rsidRPr="00DA73DB">
        <w:rPr>
          <w:rStyle w:val="FootnoteReference"/>
          <w:rFonts w:ascii="Palatino Linotype" w:hAnsi="Palatino Linotype"/>
        </w:rPr>
        <w:footnoteReference w:id="57"/>
      </w:r>
      <w:r w:rsidR="0053036D" w:rsidRPr="00DA73DB">
        <w:rPr>
          <w:rFonts w:ascii="Palatino Linotype" w:hAnsi="Palatino Linotype"/>
          <w:lang w:val="nl-NL"/>
        </w:rPr>
        <w:t xml:space="preserve"> </w:t>
      </w:r>
      <w:r w:rsidR="0053036D" w:rsidRPr="00DA73DB">
        <w:rPr>
          <w:rFonts w:ascii="Palatino Linotype" w:hAnsi="Palatino Linotype"/>
          <w:i/>
          <w:lang w:val="nl-NL"/>
        </w:rPr>
        <w:t>Framework</w:t>
      </w:r>
      <w:r w:rsidR="0053036D" w:rsidRPr="00DA73DB">
        <w:rPr>
          <w:rFonts w:ascii="Palatino Linotype" w:hAnsi="Palatino Linotype"/>
          <w:lang w:val="nl-NL"/>
        </w:rPr>
        <w:t xml:space="preserve"> ini bertujuan untuk membiayai atau membiaya</w:t>
      </w:r>
      <w:r w:rsidR="002859F4" w:rsidRPr="00DA73DB">
        <w:rPr>
          <w:rFonts w:ascii="Palatino Linotype" w:hAnsi="Palatino Linotype"/>
          <w:lang w:val="nl-NL"/>
        </w:rPr>
        <w:t>i ulang (</w:t>
      </w:r>
      <w:r w:rsidR="002859F4" w:rsidRPr="00DA73DB">
        <w:rPr>
          <w:rFonts w:ascii="Palatino Linotype" w:hAnsi="Palatino Linotype"/>
          <w:i/>
          <w:lang w:val="nl-NL"/>
        </w:rPr>
        <w:t>refinancing</w:t>
      </w:r>
      <w:r w:rsidR="002859F4" w:rsidRPr="00DA73DB">
        <w:rPr>
          <w:rFonts w:ascii="Palatino Linotype" w:hAnsi="Palatino Linotype"/>
          <w:lang w:val="nl-NL"/>
        </w:rPr>
        <w:t>) proyek hijau yang layak</w:t>
      </w:r>
      <w:r w:rsidR="00682D86" w:rsidRPr="00DA73DB">
        <w:rPr>
          <w:rFonts w:ascii="Palatino Linotype" w:hAnsi="Palatino Linotype"/>
          <w:lang w:val="nl-NL"/>
        </w:rPr>
        <w:t xml:space="preserve"> </w:t>
      </w:r>
      <w:r w:rsidR="00DC01A3" w:rsidRPr="00DA73DB">
        <w:rPr>
          <w:rFonts w:ascii="Palatino Linotype" w:hAnsi="Palatino Linotype"/>
          <w:lang w:val="nl-NL"/>
        </w:rPr>
        <w:t>(</w:t>
      </w:r>
      <w:r w:rsidR="00DC01A3" w:rsidRPr="00DA73DB">
        <w:rPr>
          <w:rFonts w:ascii="Palatino Linotype" w:hAnsi="Palatino Linotype"/>
          <w:i/>
          <w:lang w:val="nl-NL"/>
        </w:rPr>
        <w:t>eligible green project</w:t>
      </w:r>
      <w:r w:rsidR="00DC01A3" w:rsidRPr="00DA73DB">
        <w:rPr>
          <w:rFonts w:ascii="Palatino Linotype" w:hAnsi="Palatino Linotype"/>
          <w:lang w:val="nl-NL"/>
        </w:rPr>
        <w:t xml:space="preserve">) </w:t>
      </w:r>
      <w:r w:rsidR="00682D86" w:rsidRPr="00DA73DB">
        <w:rPr>
          <w:rFonts w:ascii="Palatino Linotype" w:hAnsi="Palatino Linotype"/>
          <w:lang w:val="nl-NL"/>
        </w:rPr>
        <w:t xml:space="preserve">melalui penerbitan </w:t>
      </w:r>
      <w:r w:rsidR="00682D86" w:rsidRPr="00DA73DB">
        <w:rPr>
          <w:rFonts w:ascii="Palatino Linotype" w:hAnsi="Palatino Linotype"/>
          <w:i/>
          <w:lang w:val="nl-NL"/>
        </w:rPr>
        <w:t xml:space="preserve">green </w:t>
      </w:r>
      <w:r w:rsidR="00682D86" w:rsidRPr="00DA73DB">
        <w:rPr>
          <w:rFonts w:ascii="Palatino Linotype" w:hAnsi="Palatino Linotype"/>
          <w:lang w:val="nl-NL"/>
        </w:rPr>
        <w:t>sukuk.</w:t>
      </w:r>
      <w:r w:rsidR="00DC01A3" w:rsidRPr="00DA73DB">
        <w:rPr>
          <w:rFonts w:ascii="Palatino Linotype" w:hAnsi="Palatino Linotype"/>
          <w:lang w:val="nl-NL"/>
        </w:rPr>
        <w:t xml:space="preserve"> </w:t>
      </w:r>
      <w:r w:rsidR="00DC01A3" w:rsidRPr="00DA73DB">
        <w:rPr>
          <w:rFonts w:ascii="Palatino Linotype" w:hAnsi="Palatino Linotype"/>
        </w:rPr>
        <w:t>Proyek hijau yang layak harus memenuhi kriteria dalam salah satu sektor berikut:</w:t>
      </w:r>
      <w:r w:rsidR="006829CF" w:rsidRPr="00DA73DB">
        <w:rPr>
          <w:rStyle w:val="FootnoteReference"/>
          <w:rFonts w:ascii="Palatino Linotype" w:hAnsi="Palatino Linotype"/>
        </w:rPr>
        <w:footnoteReference w:id="58"/>
      </w:r>
    </w:p>
    <w:p w14:paraId="1FDBF1A5" w14:textId="25F1E150" w:rsidR="00015726" w:rsidRPr="00DA73DB" w:rsidRDefault="00217314" w:rsidP="00DC01A3">
      <w:pPr>
        <w:pStyle w:val="ListParagraph"/>
        <w:numPr>
          <w:ilvl w:val="0"/>
          <w:numId w:val="6"/>
        </w:numPr>
        <w:jc w:val="both"/>
        <w:rPr>
          <w:rFonts w:ascii="Palatino Linotype" w:hAnsi="Palatino Linotype"/>
        </w:rPr>
      </w:pPr>
      <w:r w:rsidRPr="00DA73DB">
        <w:rPr>
          <w:rFonts w:ascii="Palatino Linotype" w:hAnsi="Palatino Linotype"/>
        </w:rPr>
        <w:t xml:space="preserve">Energi Terbarukan </w:t>
      </w:r>
      <w:r w:rsidR="007B6FFB" w:rsidRPr="00DA73DB">
        <w:rPr>
          <w:rFonts w:ascii="Palatino Linotype" w:hAnsi="Palatino Linotype"/>
        </w:rPr>
        <w:t>(</w:t>
      </w:r>
      <w:r w:rsidR="007B6FFB" w:rsidRPr="00DA73DB">
        <w:rPr>
          <w:rFonts w:ascii="Palatino Linotype" w:hAnsi="Palatino Linotype"/>
          <w:i/>
        </w:rPr>
        <w:t>renewable energy</w:t>
      </w:r>
      <w:r w:rsidR="007B6FFB" w:rsidRPr="00DA73DB">
        <w:rPr>
          <w:rFonts w:ascii="Palatino Linotype" w:hAnsi="Palatino Linotype"/>
        </w:rPr>
        <w:t>)</w:t>
      </w:r>
    </w:p>
    <w:p w14:paraId="2A8B01A1" w14:textId="7A8372E7" w:rsidR="00217314" w:rsidRPr="00DA73DB" w:rsidRDefault="00217314" w:rsidP="00015726">
      <w:pPr>
        <w:pStyle w:val="ListParagraph"/>
        <w:jc w:val="both"/>
        <w:rPr>
          <w:rFonts w:ascii="Palatino Linotype" w:hAnsi="Palatino Linotype"/>
        </w:rPr>
      </w:pPr>
      <w:r w:rsidRPr="00DA73DB">
        <w:rPr>
          <w:rFonts w:ascii="Palatino Linotype" w:hAnsi="Palatino Linotype"/>
        </w:rPr>
        <w:t>Pembangkit dan transmisi energi dari sumber-sumber terbarukan seperti angin (</w:t>
      </w:r>
      <w:r w:rsidRPr="00DA73DB">
        <w:rPr>
          <w:rFonts w:ascii="Palatino Linotype" w:hAnsi="Palatino Linotype"/>
          <w:i/>
        </w:rPr>
        <w:t>onshore</w:t>
      </w:r>
      <w:r w:rsidRPr="00DA73DB">
        <w:rPr>
          <w:rFonts w:ascii="Palatino Linotype" w:hAnsi="Palatino Linotype"/>
        </w:rPr>
        <w:t xml:space="preserve"> dan </w:t>
      </w:r>
      <w:r w:rsidRPr="00DA73DB">
        <w:rPr>
          <w:rFonts w:ascii="Palatino Linotype" w:hAnsi="Palatino Linotype"/>
          <w:i/>
        </w:rPr>
        <w:t>offshore</w:t>
      </w:r>
      <w:r w:rsidRPr="00DA73DB">
        <w:rPr>
          <w:rFonts w:ascii="Palatino Linotype" w:hAnsi="Palatino Linotype"/>
        </w:rPr>
        <w:t xml:space="preserve">), surya, biomassa, panas bumi, dan air. Penelitian dan pengembangan teknologi energi terbarukan, termasuk turbin dan panel surya, juga termasuk dalam sektor ini. </w:t>
      </w:r>
    </w:p>
    <w:p w14:paraId="646B5682" w14:textId="11D5EBA6" w:rsidR="00015726" w:rsidRPr="00DA73DB" w:rsidRDefault="00217314" w:rsidP="00DC01A3">
      <w:pPr>
        <w:pStyle w:val="ListParagraph"/>
        <w:numPr>
          <w:ilvl w:val="0"/>
          <w:numId w:val="6"/>
        </w:numPr>
        <w:jc w:val="both"/>
        <w:rPr>
          <w:rFonts w:ascii="Palatino Linotype" w:hAnsi="Palatino Linotype"/>
        </w:rPr>
      </w:pPr>
      <w:r w:rsidRPr="00DA73DB">
        <w:rPr>
          <w:rFonts w:ascii="Palatino Linotype" w:hAnsi="Palatino Linotype"/>
        </w:rPr>
        <w:t>Efisiensi Energi</w:t>
      </w:r>
      <w:r w:rsidR="001C4A9A" w:rsidRPr="00DA73DB">
        <w:rPr>
          <w:rFonts w:ascii="Palatino Linotype" w:hAnsi="Palatino Linotype"/>
        </w:rPr>
        <w:t xml:space="preserve"> (</w:t>
      </w:r>
      <w:r w:rsidR="001C4A9A" w:rsidRPr="00DA73DB">
        <w:rPr>
          <w:rFonts w:ascii="Palatino Linotype" w:hAnsi="Palatino Linotype"/>
          <w:i/>
        </w:rPr>
        <w:t>energy efficiency</w:t>
      </w:r>
      <w:r w:rsidR="001C4A9A" w:rsidRPr="00DA73DB">
        <w:rPr>
          <w:rFonts w:ascii="Palatino Linotype" w:hAnsi="Palatino Linotype"/>
        </w:rPr>
        <w:t>)</w:t>
      </w:r>
    </w:p>
    <w:p w14:paraId="3A31A6F0" w14:textId="12370945" w:rsidR="00217314" w:rsidRPr="00DA73DB" w:rsidRDefault="00217314" w:rsidP="00015726">
      <w:pPr>
        <w:pStyle w:val="ListParagraph"/>
        <w:jc w:val="both"/>
        <w:rPr>
          <w:rFonts w:ascii="Palatino Linotype" w:hAnsi="Palatino Linotype"/>
        </w:rPr>
      </w:pPr>
      <w:r w:rsidRPr="00DA73DB">
        <w:rPr>
          <w:rFonts w:ascii="Palatino Linotype" w:hAnsi="Palatino Linotype"/>
        </w:rPr>
        <w:t xml:space="preserve">Peningkatan efisiensi energi infrastruktur yang menghasilkan pengurangan konsumsi energi minimal 10% di bawah rata-rata nasional. Penelitian dan pengembangan teknologi yang mengurangi konsumsi energi, seperti lampu LED, pendingin, dan teknologi manufaktur yang lebih efisien. </w:t>
      </w:r>
    </w:p>
    <w:p w14:paraId="703F697E" w14:textId="65C437A6" w:rsidR="00015726" w:rsidRPr="00DA73DB" w:rsidRDefault="00217314" w:rsidP="00DC01A3">
      <w:pPr>
        <w:pStyle w:val="ListParagraph"/>
        <w:numPr>
          <w:ilvl w:val="0"/>
          <w:numId w:val="6"/>
        </w:numPr>
        <w:jc w:val="both"/>
        <w:rPr>
          <w:rFonts w:ascii="Palatino Linotype" w:hAnsi="Palatino Linotype"/>
        </w:rPr>
      </w:pPr>
      <w:r w:rsidRPr="00DA73DB">
        <w:rPr>
          <w:rFonts w:ascii="Palatino Linotype" w:hAnsi="Palatino Linotype"/>
        </w:rPr>
        <w:t>Ketahanan terhadap Perubahan Iklim</w:t>
      </w:r>
      <w:r w:rsidR="001C4A9A" w:rsidRPr="00DA73DB">
        <w:rPr>
          <w:rFonts w:ascii="Palatino Linotype" w:hAnsi="Palatino Linotype"/>
        </w:rPr>
        <w:t xml:space="preserve"> (</w:t>
      </w:r>
      <w:r w:rsidR="001C4A9A" w:rsidRPr="00DA73DB">
        <w:rPr>
          <w:rFonts w:ascii="Palatino Linotype" w:hAnsi="Palatino Linotype"/>
          <w:i/>
        </w:rPr>
        <w:t>resilience to climate change for highly vulnerable areas and sectors/disaster risk reduction</w:t>
      </w:r>
      <w:r w:rsidR="001C4A9A" w:rsidRPr="00DA73DB">
        <w:rPr>
          <w:rFonts w:ascii="Palatino Linotype" w:hAnsi="Palatino Linotype"/>
        </w:rPr>
        <w:t>)</w:t>
      </w:r>
    </w:p>
    <w:p w14:paraId="12BC5DA5" w14:textId="68B4842C" w:rsidR="00217314" w:rsidRPr="00DA73DB" w:rsidRDefault="00217314" w:rsidP="00015726">
      <w:pPr>
        <w:pStyle w:val="ListParagraph"/>
        <w:jc w:val="both"/>
        <w:rPr>
          <w:rFonts w:ascii="Palatino Linotype" w:hAnsi="Palatino Linotype"/>
        </w:rPr>
      </w:pPr>
      <w:r w:rsidRPr="00DA73DB">
        <w:rPr>
          <w:rFonts w:ascii="Palatino Linotype" w:hAnsi="Palatino Linotype"/>
        </w:rPr>
        <w:t xml:space="preserve">Proyek-proyek yang mendukung ketahanan di wilayah dan sektor yang rentan, meliputi manajemen risiko bencana, keamanan pangan, mitigasi banjir, pengelolaan kekeringan, serta manajemen kesehatan masyarakat. </w:t>
      </w:r>
    </w:p>
    <w:p w14:paraId="64FDF814" w14:textId="7FD889C4" w:rsidR="00015726" w:rsidRPr="00DA73DB" w:rsidRDefault="00217314" w:rsidP="00DC01A3">
      <w:pPr>
        <w:pStyle w:val="ListParagraph"/>
        <w:numPr>
          <w:ilvl w:val="0"/>
          <w:numId w:val="6"/>
        </w:numPr>
        <w:jc w:val="both"/>
        <w:rPr>
          <w:rFonts w:ascii="Palatino Linotype" w:hAnsi="Palatino Linotype"/>
        </w:rPr>
      </w:pPr>
      <w:r w:rsidRPr="00DA73DB">
        <w:rPr>
          <w:rFonts w:ascii="Palatino Linotype" w:hAnsi="Palatino Linotype"/>
        </w:rPr>
        <w:t>Transportasi Berkelanjutan</w:t>
      </w:r>
      <w:r w:rsidR="00DB06B8" w:rsidRPr="00DA73DB">
        <w:rPr>
          <w:rFonts w:ascii="Palatino Linotype" w:hAnsi="Palatino Linotype"/>
        </w:rPr>
        <w:t xml:space="preserve"> (</w:t>
      </w:r>
      <w:r w:rsidR="00DB06B8" w:rsidRPr="00DA73DB">
        <w:rPr>
          <w:rFonts w:ascii="Palatino Linotype" w:hAnsi="Palatino Linotype"/>
          <w:i/>
        </w:rPr>
        <w:t>sustain</w:t>
      </w:r>
      <w:r w:rsidR="00BA077A" w:rsidRPr="00DA73DB">
        <w:rPr>
          <w:rFonts w:ascii="Palatino Linotype" w:hAnsi="Palatino Linotype"/>
          <w:i/>
        </w:rPr>
        <w:t>able transport</w:t>
      </w:r>
      <w:r w:rsidR="00BA077A" w:rsidRPr="00DA73DB">
        <w:rPr>
          <w:rFonts w:ascii="Palatino Linotype" w:hAnsi="Palatino Linotype"/>
        </w:rPr>
        <w:t>)</w:t>
      </w:r>
    </w:p>
    <w:p w14:paraId="3237789A" w14:textId="2184E809" w:rsidR="00217314" w:rsidRPr="00DA73DB" w:rsidRDefault="00217314" w:rsidP="00015726">
      <w:pPr>
        <w:pStyle w:val="ListParagraph"/>
        <w:jc w:val="both"/>
        <w:rPr>
          <w:rFonts w:ascii="Palatino Linotype" w:hAnsi="Palatino Linotype"/>
        </w:rPr>
      </w:pPr>
      <w:r w:rsidRPr="00DA73DB">
        <w:rPr>
          <w:rFonts w:ascii="Palatino Linotype" w:hAnsi="Palatino Linotype"/>
        </w:rPr>
        <w:t xml:space="preserve">Pengembangan sistem transportasi ramah lingkungan dan peningkatan jaringan transportasi yang sesuai dengan standar desain yang lebih tahan terhadap perubahan iklim. </w:t>
      </w:r>
    </w:p>
    <w:p w14:paraId="6AA735A6" w14:textId="2FD4CE1F" w:rsidR="00015726" w:rsidRPr="00DA73DB" w:rsidRDefault="00217314" w:rsidP="00DC01A3">
      <w:pPr>
        <w:pStyle w:val="ListParagraph"/>
        <w:numPr>
          <w:ilvl w:val="0"/>
          <w:numId w:val="6"/>
        </w:numPr>
        <w:jc w:val="both"/>
        <w:rPr>
          <w:rFonts w:ascii="Palatino Linotype" w:hAnsi="Palatino Linotype"/>
        </w:rPr>
      </w:pPr>
      <w:r w:rsidRPr="00DA73DB">
        <w:rPr>
          <w:rFonts w:ascii="Palatino Linotype" w:hAnsi="Palatino Linotype"/>
        </w:rPr>
        <w:t>Pengelolaan Sampah dan Energi dari Limbah</w:t>
      </w:r>
      <w:r w:rsidR="00BA077A" w:rsidRPr="00DA73DB">
        <w:rPr>
          <w:rFonts w:ascii="Palatino Linotype" w:hAnsi="Palatino Linotype"/>
        </w:rPr>
        <w:t xml:space="preserve"> (</w:t>
      </w:r>
      <w:r w:rsidR="00BA077A" w:rsidRPr="00DA73DB">
        <w:rPr>
          <w:rFonts w:ascii="Palatino Linotype" w:hAnsi="Palatino Linotype"/>
          <w:i/>
        </w:rPr>
        <w:t>waste to energy and waste management</w:t>
      </w:r>
      <w:r w:rsidR="00BA077A" w:rsidRPr="00DA73DB">
        <w:rPr>
          <w:rFonts w:ascii="Palatino Linotype" w:hAnsi="Palatino Linotype"/>
        </w:rPr>
        <w:t>)</w:t>
      </w:r>
    </w:p>
    <w:p w14:paraId="326945C6" w14:textId="68F06D8A" w:rsidR="00217314" w:rsidRPr="00DA73DB" w:rsidRDefault="00217314" w:rsidP="00015726">
      <w:pPr>
        <w:pStyle w:val="ListParagraph"/>
        <w:jc w:val="both"/>
        <w:rPr>
          <w:rFonts w:ascii="Palatino Linotype" w:hAnsi="Palatino Linotype"/>
        </w:rPr>
      </w:pPr>
      <w:r w:rsidRPr="00DA73DB">
        <w:rPr>
          <w:rFonts w:ascii="Palatino Linotype" w:hAnsi="Palatino Linotype"/>
        </w:rPr>
        <w:t xml:space="preserve">Peningkatan pengelolaan sampah, konversi limbah menjadi sumber energi terbarukan, serta rehabilitasi area tempat pembuangan sampah. </w:t>
      </w:r>
    </w:p>
    <w:p w14:paraId="0A129AD4" w14:textId="6D55D989" w:rsidR="00015726" w:rsidRPr="00DA73DB" w:rsidRDefault="00217314" w:rsidP="00DC01A3">
      <w:pPr>
        <w:pStyle w:val="ListParagraph"/>
        <w:numPr>
          <w:ilvl w:val="0"/>
          <w:numId w:val="6"/>
        </w:numPr>
        <w:jc w:val="both"/>
        <w:rPr>
          <w:rFonts w:ascii="Palatino Linotype" w:hAnsi="Palatino Linotype"/>
        </w:rPr>
      </w:pPr>
      <w:r w:rsidRPr="00DA73DB">
        <w:rPr>
          <w:rFonts w:ascii="Palatino Linotype" w:hAnsi="Palatino Linotype"/>
        </w:rPr>
        <w:t>Pengelolaan Sumber Daya Alam Berkelanjutan</w:t>
      </w:r>
      <w:r w:rsidR="00BA077A" w:rsidRPr="00DA73DB">
        <w:rPr>
          <w:rFonts w:ascii="Palatino Linotype" w:hAnsi="Palatino Linotype"/>
        </w:rPr>
        <w:t xml:space="preserve"> (</w:t>
      </w:r>
      <w:r w:rsidR="00BA077A" w:rsidRPr="00DA73DB">
        <w:rPr>
          <w:rFonts w:ascii="Palatino Linotype" w:hAnsi="Palatino Linotype"/>
          <w:i/>
        </w:rPr>
        <w:t>sustainable man</w:t>
      </w:r>
      <w:r w:rsidR="00944BA9" w:rsidRPr="00DA73DB">
        <w:rPr>
          <w:rFonts w:ascii="Palatino Linotype" w:hAnsi="Palatino Linotype"/>
          <w:i/>
        </w:rPr>
        <w:t>a</w:t>
      </w:r>
      <w:r w:rsidR="00BA077A" w:rsidRPr="00DA73DB">
        <w:rPr>
          <w:rFonts w:ascii="Palatino Linotype" w:hAnsi="Palatino Linotype"/>
          <w:i/>
        </w:rPr>
        <w:t>gement of natural resources</w:t>
      </w:r>
      <w:r w:rsidR="00BA077A" w:rsidRPr="00DA73DB">
        <w:rPr>
          <w:rFonts w:ascii="Palatino Linotype" w:hAnsi="Palatino Linotype"/>
        </w:rPr>
        <w:t>)</w:t>
      </w:r>
    </w:p>
    <w:p w14:paraId="10B677F5" w14:textId="64B4E06D" w:rsidR="00217314" w:rsidRPr="00DA73DB" w:rsidRDefault="00217314" w:rsidP="00015726">
      <w:pPr>
        <w:pStyle w:val="ListParagraph"/>
        <w:jc w:val="both"/>
        <w:rPr>
          <w:rFonts w:ascii="Palatino Linotype" w:hAnsi="Palatino Linotype"/>
        </w:rPr>
      </w:pPr>
      <w:r w:rsidRPr="00DA73DB">
        <w:rPr>
          <w:rFonts w:ascii="Palatino Linotype" w:hAnsi="Palatino Linotype"/>
        </w:rPr>
        <w:t xml:space="preserve">Proyek yang mendukung pengelolaan sumber daya alam secara berkelanjutan, menghindari atau mengurangi hilangnya karbon, dan meningkatkan penyerapan karbon melalui reboisasi atau penanaman kembali area yang terdegradasi. Proyek juga dapat mencakup konservasi habitat dan keanekaragaman hayati. </w:t>
      </w:r>
    </w:p>
    <w:p w14:paraId="66B15938" w14:textId="709C3DAC" w:rsidR="00015726" w:rsidRPr="00DA73DB" w:rsidRDefault="00217314" w:rsidP="00DC01A3">
      <w:pPr>
        <w:pStyle w:val="ListParagraph"/>
        <w:numPr>
          <w:ilvl w:val="0"/>
          <w:numId w:val="6"/>
        </w:numPr>
        <w:jc w:val="both"/>
        <w:rPr>
          <w:rFonts w:ascii="Palatino Linotype" w:hAnsi="Palatino Linotype"/>
        </w:rPr>
      </w:pPr>
      <w:r w:rsidRPr="00DA73DB">
        <w:rPr>
          <w:rFonts w:ascii="Palatino Linotype" w:hAnsi="Palatino Linotype"/>
        </w:rPr>
        <w:t>Pariwisata Hijau</w:t>
      </w:r>
      <w:r w:rsidR="00BA077A" w:rsidRPr="00DA73DB">
        <w:rPr>
          <w:rFonts w:ascii="Palatino Linotype" w:hAnsi="Palatino Linotype"/>
        </w:rPr>
        <w:t xml:space="preserve"> (</w:t>
      </w:r>
      <w:r w:rsidR="00BA077A" w:rsidRPr="00DA73DB">
        <w:rPr>
          <w:rFonts w:ascii="Palatino Linotype" w:hAnsi="Palatino Linotype"/>
          <w:i/>
        </w:rPr>
        <w:t>green tourism</w:t>
      </w:r>
      <w:r w:rsidR="00BA077A" w:rsidRPr="00DA73DB">
        <w:rPr>
          <w:rFonts w:ascii="Palatino Linotype" w:hAnsi="Palatino Linotype"/>
        </w:rPr>
        <w:t>)</w:t>
      </w:r>
    </w:p>
    <w:p w14:paraId="0BD0B880" w14:textId="7739279B" w:rsidR="00217314" w:rsidRPr="00DA73DB" w:rsidRDefault="00217314" w:rsidP="00015726">
      <w:pPr>
        <w:pStyle w:val="ListParagraph"/>
        <w:jc w:val="both"/>
        <w:rPr>
          <w:rFonts w:ascii="Palatino Linotype" w:hAnsi="Palatino Linotype"/>
        </w:rPr>
      </w:pPr>
      <w:r w:rsidRPr="00DA73DB">
        <w:rPr>
          <w:rFonts w:ascii="Palatino Linotype" w:hAnsi="Palatino Linotype"/>
        </w:rPr>
        <w:t xml:space="preserve">Pengembangan area wisata baru yang sesuai dengan prinsip-prinsip pariwisata hijau, optimalisasi infrastruktur pendukung untuk pariwisata berkelanjutan, dan pengembangan ketahanan pariwisata terhadap risiko perubahan iklim. </w:t>
      </w:r>
    </w:p>
    <w:p w14:paraId="55223B55" w14:textId="30757427" w:rsidR="00015726" w:rsidRPr="00DA73DB" w:rsidRDefault="00217314" w:rsidP="00DC01A3">
      <w:pPr>
        <w:pStyle w:val="ListParagraph"/>
        <w:numPr>
          <w:ilvl w:val="0"/>
          <w:numId w:val="6"/>
        </w:numPr>
        <w:jc w:val="both"/>
        <w:rPr>
          <w:rFonts w:ascii="Palatino Linotype" w:hAnsi="Palatino Linotype"/>
        </w:rPr>
      </w:pPr>
      <w:r w:rsidRPr="00DA73DB">
        <w:rPr>
          <w:rFonts w:ascii="Palatino Linotype" w:hAnsi="Palatino Linotype"/>
        </w:rPr>
        <w:t>Bangunan Hijau</w:t>
      </w:r>
      <w:r w:rsidR="00BA077A" w:rsidRPr="00DA73DB">
        <w:rPr>
          <w:rFonts w:ascii="Palatino Linotype" w:hAnsi="Palatino Linotype"/>
        </w:rPr>
        <w:t xml:space="preserve"> (</w:t>
      </w:r>
      <w:r w:rsidR="00BA077A" w:rsidRPr="00DA73DB">
        <w:rPr>
          <w:rFonts w:ascii="Palatino Linotype" w:hAnsi="Palatino Linotype"/>
          <w:i/>
        </w:rPr>
        <w:t>green buildings</w:t>
      </w:r>
      <w:r w:rsidR="00BA077A" w:rsidRPr="00DA73DB">
        <w:rPr>
          <w:rFonts w:ascii="Palatino Linotype" w:hAnsi="Palatino Linotype"/>
        </w:rPr>
        <w:t>)</w:t>
      </w:r>
    </w:p>
    <w:p w14:paraId="71548130" w14:textId="0F4E97CD" w:rsidR="00217314" w:rsidRPr="00DA73DB" w:rsidRDefault="00217314" w:rsidP="00015726">
      <w:pPr>
        <w:pStyle w:val="ListParagraph"/>
        <w:jc w:val="both"/>
        <w:rPr>
          <w:rFonts w:ascii="Palatino Linotype" w:hAnsi="Palatino Linotype"/>
        </w:rPr>
      </w:pPr>
      <w:r w:rsidRPr="00DA73DB">
        <w:rPr>
          <w:rFonts w:ascii="Palatino Linotype" w:hAnsi="Palatino Linotype"/>
        </w:rPr>
        <w:t xml:space="preserve">Pengembangan bangunan hijau sesuai dengan standar </w:t>
      </w:r>
      <w:r w:rsidRPr="00DA73DB">
        <w:rPr>
          <w:rFonts w:ascii="Palatino Linotype" w:hAnsi="Palatino Linotype"/>
          <w:i/>
        </w:rPr>
        <w:t>Greenship</w:t>
      </w:r>
      <w:r w:rsidRPr="00DA73DB">
        <w:rPr>
          <w:rFonts w:ascii="Palatino Linotype" w:hAnsi="Palatino Linotype"/>
        </w:rPr>
        <w:t xml:space="preserve"> dari </w:t>
      </w:r>
      <w:r w:rsidRPr="00DA73DB">
        <w:rPr>
          <w:rFonts w:ascii="Palatino Linotype" w:hAnsi="Palatino Linotype"/>
          <w:i/>
        </w:rPr>
        <w:t>Green</w:t>
      </w:r>
      <w:r w:rsidRPr="00DA73DB">
        <w:rPr>
          <w:rFonts w:ascii="Palatino Linotype" w:hAnsi="Palatino Linotype"/>
        </w:rPr>
        <w:t xml:space="preserve"> </w:t>
      </w:r>
      <w:r w:rsidRPr="00DA73DB">
        <w:rPr>
          <w:rFonts w:ascii="Palatino Linotype" w:hAnsi="Palatino Linotype"/>
          <w:i/>
        </w:rPr>
        <w:t>Building</w:t>
      </w:r>
      <w:r w:rsidRPr="00DA73DB">
        <w:rPr>
          <w:rFonts w:ascii="Palatino Linotype" w:hAnsi="Palatino Linotype"/>
        </w:rPr>
        <w:t xml:space="preserve"> </w:t>
      </w:r>
      <w:r w:rsidRPr="00DA73DB">
        <w:rPr>
          <w:rFonts w:ascii="Palatino Linotype" w:hAnsi="Palatino Linotype"/>
          <w:i/>
        </w:rPr>
        <w:t>Council</w:t>
      </w:r>
      <w:r w:rsidRPr="00DA73DB">
        <w:rPr>
          <w:rFonts w:ascii="Palatino Linotype" w:hAnsi="Palatino Linotype"/>
        </w:rPr>
        <w:t xml:space="preserve"> Indonesia (GBC Indonesia), yang meliputi pengembangan lahan yang tepat, efisiensi energi, konservasi air, siklus material, kualitas udara, dan manajemen lingkungan. </w:t>
      </w:r>
    </w:p>
    <w:p w14:paraId="386CE5B3" w14:textId="0A6B5F9B" w:rsidR="007B6FFB" w:rsidRPr="00DA73DB" w:rsidRDefault="00217314" w:rsidP="00DC01A3">
      <w:pPr>
        <w:pStyle w:val="ListParagraph"/>
        <w:numPr>
          <w:ilvl w:val="0"/>
          <w:numId w:val="6"/>
        </w:numPr>
        <w:jc w:val="both"/>
        <w:rPr>
          <w:rFonts w:ascii="Palatino Linotype" w:hAnsi="Palatino Linotype"/>
        </w:rPr>
      </w:pPr>
      <w:r w:rsidRPr="00DA73DB">
        <w:rPr>
          <w:rFonts w:ascii="Palatino Linotype" w:hAnsi="Palatino Linotype"/>
        </w:rPr>
        <w:t>Pertanian Berkelanjutan</w:t>
      </w:r>
      <w:r w:rsidR="00BA077A" w:rsidRPr="00DA73DB">
        <w:rPr>
          <w:rFonts w:ascii="Palatino Linotype" w:hAnsi="Palatino Linotype"/>
        </w:rPr>
        <w:t xml:space="preserve"> (</w:t>
      </w:r>
      <w:r w:rsidR="00BA077A" w:rsidRPr="00DA73DB">
        <w:rPr>
          <w:rFonts w:ascii="Palatino Linotype" w:hAnsi="Palatino Linotype"/>
          <w:i/>
        </w:rPr>
        <w:t>sustainable agriculture</w:t>
      </w:r>
      <w:r w:rsidR="00BA077A" w:rsidRPr="00DA73DB">
        <w:rPr>
          <w:rFonts w:ascii="Palatino Linotype" w:hAnsi="Palatino Linotype"/>
        </w:rPr>
        <w:t>)</w:t>
      </w:r>
    </w:p>
    <w:p w14:paraId="588D48D9" w14:textId="06F9CE52" w:rsidR="00DC01A3" w:rsidRPr="00DA73DB" w:rsidRDefault="00217314" w:rsidP="007B6FFB">
      <w:pPr>
        <w:pStyle w:val="ListParagraph"/>
        <w:jc w:val="both"/>
        <w:rPr>
          <w:rFonts w:ascii="Palatino Linotype" w:hAnsi="Palatino Linotype"/>
        </w:rPr>
      </w:pPr>
      <w:r w:rsidRPr="00DA73DB">
        <w:rPr>
          <w:rFonts w:ascii="Palatino Linotype" w:hAnsi="Palatino Linotype"/>
        </w:rPr>
        <w:t>Pengembangan manajemen pertanian yang ramah lingkungan, seperti pertanian organik, pengurangan penggunaan pestisida, penelitian bibit tahan iklim, dan efisiensi energi dalam pertanian. Proyek juga dapat mencakup mekanisme subsidi untuk asuransi pertanian.</w:t>
      </w:r>
    </w:p>
    <w:p w14:paraId="399C1087" w14:textId="5EAC37B3" w:rsidR="00C95AAC" w:rsidRPr="00DA73DB" w:rsidRDefault="00F44D7F" w:rsidP="00612F6D">
      <w:pPr>
        <w:spacing w:after="0" w:line="240" w:lineRule="auto"/>
        <w:ind w:firstLine="340"/>
        <w:jc w:val="both"/>
        <w:rPr>
          <w:rFonts w:ascii="Palatino Linotype" w:hAnsi="Palatino Linotype"/>
        </w:rPr>
      </w:pPr>
      <w:r w:rsidRPr="00DA73DB">
        <w:rPr>
          <w:rFonts w:ascii="Palatino Linotype" w:hAnsi="Palatino Linotype"/>
        </w:rPr>
        <w:t>Di sisi lain, OJK telah mengatur</w:t>
      </w:r>
      <w:r w:rsidR="0068488D" w:rsidRPr="00DA73DB">
        <w:rPr>
          <w:rFonts w:ascii="Palatino Linotype" w:hAnsi="Palatino Linotype"/>
        </w:rPr>
        <w:t xml:space="preserve"> hal serupa dengan </w:t>
      </w:r>
      <w:r w:rsidR="0068488D" w:rsidRPr="00DA73DB">
        <w:rPr>
          <w:rFonts w:ascii="Palatino Linotype" w:hAnsi="Palatino Linotype"/>
          <w:i/>
        </w:rPr>
        <w:t>frame</w:t>
      </w:r>
      <w:r w:rsidR="00054EBD" w:rsidRPr="00DA73DB">
        <w:rPr>
          <w:rFonts w:ascii="Palatino Linotype" w:hAnsi="Palatino Linotype"/>
          <w:i/>
        </w:rPr>
        <w:t xml:space="preserve">work </w:t>
      </w:r>
      <w:r w:rsidR="00054EBD" w:rsidRPr="00DA73DB">
        <w:rPr>
          <w:rFonts w:ascii="Palatino Linotype" w:hAnsi="Palatino Linotype"/>
        </w:rPr>
        <w:t>sukuk</w:t>
      </w:r>
      <w:r w:rsidR="0068488D" w:rsidRPr="00DA73DB">
        <w:rPr>
          <w:rFonts w:ascii="Palatino Linotype" w:hAnsi="Palatino Linotype"/>
          <w:i/>
        </w:rPr>
        <w:t xml:space="preserve"> </w:t>
      </w:r>
      <w:r w:rsidR="0068488D" w:rsidRPr="00DA73DB">
        <w:rPr>
          <w:rFonts w:ascii="Palatino Linotype" w:hAnsi="Palatino Linotype"/>
        </w:rPr>
        <w:t xml:space="preserve">mengenai </w:t>
      </w:r>
      <w:r w:rsidRPr="00DA73DB">
        <w:rPr>
          <w:rFonts w:ascii="Palatino Linotype" w:hAnsi="Palatino Linotype"/>
        </w:rPr>
        <w:t xml:space="preserve">jenis kegiatan yang dapat dibiayai dengan dana hasil penerbitan </w:t>
      </w:r>
      <w:r w:rsidR="00054EBD" w:rsidRPr="00DA73DB">
        <w:rPr>
          <w:rFonts w:ascii="Palatino Linotype" w:hAnsi="Palatino Linotype"/>
          <w:i/>
        </w:rPr>
        <w:t xml:space="preserve">green </w:t>
      </w:r>
      <w:r w:rsidRPr="00DA73DB">
        <w:rPr>
          <w:rFonts w:ascii="Palatino Linotype" w:hAnsi="Palatino Linotype"/>
        </w:rPr>
        <w:t>sukuk</w:t>
      </w:r>
      <w:r w:rsidR="00BA0061" w:rsidRPr="00DA73DB">
        <w:rPr>
          <w:rFonts w:ascii="Palatino Linotype" w:hAnsi="Palatino Linotype"/>
        </w:rPr>
        <w:t xml:space="preserve"> yaitu mencakup</w:t>
      </w:r>
      <w:r w:rsidR="00B74743" w:rsidRPr="00DA73DB">
        <w:rPr>
          <w:rFonts w:ascii="Palatino Linotype" w:hAnsi="Palatino Linotype"/>
        </w:rPr>
        <w:t xml:space="preserve"> (a) energi terbarukan; (b) efisiensi energi. (c) pencegahan dan pengendalian polusi, (d) pengelolaan sumber daya alam hayati dan penggunaan lahan yang berkelanjutan, (e) konservasi keanekaragaman hayati darat dan air, (f) transportasi ramah lingkungan,</w:t>
      </w:r>
      <w:r w:rsidR="00962312" w:rsidRPr="00DA73DB">
        <w:rPr>
          <w:rFonts w:ascii="Palatino Linotype" w:hAnsi="Palatino Linotype"/>
        </w:rPr>
        <w:t xml:space="preserve">(g) </w:t>
      </w:r>
      <w:r w:rsidR="00B74743" w:rsidRPr="00DA73DB">
        <w:rPr>
          <w:rFonts w:ascii="Palatino Linotype" w:hAnsi="Palatino Linotype"/>
        </w:rPr>
        <w:t>pengelolaan air dan air limbah yang berkelanjutan</w:t>
      </w:r>
      <w:r w:rsidR="00962312" w:rsidRPr="00DA73DB">
        <w:rPr>
          <w:rFonts w:ascii="Palatino Linotype" w:hAnsi="Palatino Linotype"/>
        </w:rPr>
        <w:t xml:space="preserve">, (h) </w:t>
      </w:r>
      <w:r w:rsidR="00B74743" w:rsidRPr="00DA73DB">
        <w:rPr>
          <w:rFonts w:ascii="Palatino Linotype" w:hAnsi="Palatino Linotype"/>
        </w:rPr>
        <w:t>adaptasi perubahan iklim</w:t>
      </w:r>
      <w:r w:rsidR="00962312" w:rsidRPr="00DA73DB">
        <w:rPr>
          <w:rFonts w:ascii="Palatino Linotype" w:hAnsi="Palatino Linotype"/>
        </w:rPr>
        <w:t xml:space="preserve">, (i) </w:t>
      </w:r>
      <w:r w:rsidR="00B74743" w:rsidRPr="00DA73DB">
        <w:rPr>
          <w:rFonts w:ascii="Palatino Linotype" w:hAnsi="Palatino Linotype"/>
        </w:rPr>
        <w:t>produk yang dapat mengurangi penggunaan sumber daya dan menghasilkan lebih sedikit polusi</w:t>
      </w:r>
      <w:r w:rsidR="00962312" w:rsidRPr="00DA73DB">
        <w:rPr>
          <w:rFonts w:ascii="Palatino Linotype" w:hAnsi="Palatino Linotype"/>
        </w:rPr>
        <w:t xml:space="preserve">, (j) </w:t>
      </w:r>
      <w:r w:rsidR="00B74743" w:rsidRPr="00DA73DB">
        <w:rPr>
          <w:rFonts w:ascii="Palatino Linotype" w:hAnsi="Palatino Linotype"/>
        </w:rPr>
        <w:t>bangunan berwawasan lingkungan yang memenuhi standar atau sertifikasi yang diakui secara nasional, regional, atau internasional</w:t>
      </w:r>
      <w:r w:rsidR="00777ACF" w:rsidRPr="00DA73DB">
        <w:rPr>
          <w:rFonts w:ascii="Palatino Linotype" w:hAnsi="Palatino Linotype"/>
        </w:rPr>
        <w:t xml:space="preserve">, </w:t>
      </w:r>
      <w:r w:rsidR="00B74743" w:rsidRPr="00DA73DB">
        <w:rPr>
          <w:rFonts w:ascii="Palatino Linotype" w:hAnsi="Palatino Linotype"/>
        </w:rPr>
        <w:t>dan/atau</w:t>
      </w:r>
      <w:r w:rsidR="00777ACF" w:rsidRPr="00DA73DB">
        <w:rPr>
          <w:rFonts w:ascii="Palatino Linotype" w:hAnsi="Palatino Linotype"/>
        </w:rPr>
        <w:t xml:space="preserve"> (</w:t>
      </w:r>
      <w:r w:rsidR="00B74743" w:rsidRPr="00DA73DB">
        <w:rPr>
          <w:rFonts w:ascii="Palatino Linotype" w:hAnsi="Palatino Linotype"/>
        </w:rPr>
        <w:t>k</w:t>
      </w:r>
      <w:r w:rsidR="00777ACF" w:rsidRPr="00DA73DB">
        <w:rPr>
          <w:rFonts w:ascii="Palatino Linotype" w:hAnsi="Palatino Linotype"/>
        </w:rPr>
        <w:t>) k</w:t>
      </w:r>
      <w:r w:rsidR="00B74743" w:rsidRPr="00DA73DB">
        <w:rPr>
          <w:rFonts w:ascii="Palatino Linotype" w:hAnsi="Palatino Linotype"/>
        </w:rPr>
        <w:t>egiatan usaha dan/atau kegiatan lain yang berwawasan lingkungan lainnya.</w:t>
      </w:r>
      <w:r w:rsidR="003B7F71" w:rsidRPr="00DA73DB">
        <w:rPr>
          <w:rStyle w:val="FootnoteReference"/>
          <w:rFonts w:ascii="Palatino Linotype" w:hAnsi="Palatino Linotype"/>
        </w:rPr>
        <w:footnoteReference w:id="59"/>
      </w:r>
    </w:p>
    <w:p w14:paraId="30843FA4" w14:textId="77777777" w:rsidR="007C3476" w:rsidRPr="00DA73DB" w:rsidRDefault="007C3476" w:rsidP="0045726F">
      <w:pPr>
        <w:spacing w:after="0" w:line="240" w:lineRule="auto"/>
        <w:ind w:firstLine="340"/>
        <w:jc w:val="both"/>
        <w:rPr>
          <w:rFonts w:ascii="Palatino Linotype" w:hAnsi="Palatino Linotype"/>
          <w:lang w:val="en-US"/>
        </w:rPr>
      </w:pPr>
    </w:p>
    <w:p w14:paraId="1EF3B41D" w14:textId="77777777" w:rsidR="0031260A" w:rsidRPr="00DA73DB" w:rsidRDefault="0031260A" w:rsidP="0045726F">
      <w:pPr>
        <w:spacing w:after="0" w:line="240" w:lineRule="auto"/>
        <w:ind w:firstLine="340"/>
        <w:jc w:val="both"/>
        <w:rPr>
          <w:rFonts w:ascii="Palatino Linotype" w:hAnsi="Palatino Linotype"/>
          <w:lang w:val="en-US"/>
        </w:rPr>
      </w:pPr>
    </w:p>
    <w:p w14:paraId="16120500" w14:textId="77777777" w:rsidR="00CA4B7C" w:rsidRPr="00DA73DB" w:rsidRDefault="00CA4B7C" w:rsidP="0045726F">
      <w:pPr>
        <w:spacing w:after="0" w:line="240" w:lineRule="auto"/>
        <w:ind w:firstLine="340"/>
        <w:jc w:val="both"/>
        <w:rPr>
          <w:rFonts w:ascii="Palatino Linotype" w:hAnsi="Palatino Linotype"/>
          <w:lang w:val="en-US"/>
        </w:rPr>
      </w:pPr>
    </w:p>
    <w:p w14:paraId="7D150DD5" w14:textId="77777777" w:rsidR="0031260A" w:rsidRPr="00DA73DB" w:rsidRDefault="0031260A" w:rsidP="0045726F">
      <w:pPr>
        <w:spacing w:after="0" w:line="240" w:lineRule="auto"/>
        <w:ind w:firstLine="340"/>
        <w:jc w:val="both"/>
        <w:rPr>
          <w:rFonts w:ascii="Palatino Linotype" w:hAnsi="Palatino Linotype"/>
          <w:lang w:val="en-US"/>
        </w:rPr>
      </w:pPr>
    </w:p>
    <w:p w14:paraId="156BBCDA" w14:textId="77777777" w:rsidR="0031260A" w:rsidRPr="00DA73DB" w:rsidRDefault="0031260A" w:rsidP="0045726F">
      <w:pPr>
        <w:spacing w:after="0" w:line="240" w:lineRule="auto"/>
        <w:ind w:firstLine="340"/>
        <w:jc w:val="both"/>
        <w:rPr>
          <w:rFonts w:ascii="Palatino Linotype" w:hAnsi="Palatino Linotype"/>
          <w:lang w:val="en-US"/>
        </w:rPr>
      </w:pPr>
    </w:p>
    <w:p w14:paraId="169206E3" w14:textId="3A383B14" w:rsidR="00AE610E" w:rsidRPr="00DA73DB" w:rsidRDefault="00AA0809" w:rsidP="00AA0809">
      <w:pPr>
        <w:numPr>
          <w:ilvl w:val="0"/>
          <w:numId w:val="11"/>
        </w:numPr>
        <w:spacing w:after="0" w:line="240" w:lineRule="auto"/>
        <w:ind w:left="340"/>
        <w:jc w:val="both"/>
        <w:rPr>
          <w:rFonts w:ascii="Palatino Linotype" w:hAnsi="Palatino Linotype"/>
          <w:lang w:val="en-US"/>
        </w:rPr>
      </w:pPr>
      <w:r w:rsidRPr="00DA73DB">
        <w:rPr>
          <w:rFonts w:ascii="Palatino Linotype" w:hAnsi="Palatino Linotype"/>
          <w:b/>
        </w:rPr>
        <w:t>Kesimpulan</w:t>
      </w:r>
    </w:p>
    <w:p w14:paraId="247E5D9D" w14:textId="0DC5D965" w:rsidR="006E3264" w:rsidRPr="00DA73DB" w:rsidRDefault="001113F6" w:rsidP="0014414D">
      <w:pPr>
        <w:spacing w:after="0" w:line="240" w:lineRule="auto"/>
        <w:ind w:firstLine="340"/>
        <w:jc w:val="both"/>
        <w:rPr>
          <w:rFonts w:ascii="Palatino Linotype" w:hAnsi="Palatino Linotype"/>
          <w:lang w:val="en-US"/>
        </w:rPr>
      </w:pPr>
      <w:r w:rsidRPr="00DA73DB">
        <w:rPr>
          <w:rFonts w:ascii="Palatino Linotype" w:hAnsi="Palatino Linotype"/>
          <w:lang w:val="en-US"/>
        </w:rPr>
        <w:t>Penerbitan sukuk daerah diatur melalui sejumlah peraturan yang memberikan kerangka hukum yang jelas bagi pemerintah daerah untuk memanfaatkan sukuk sebagai alternatif pendanaan</w:t>
      </w:r>
      <w:r w:rsidR="00854FF2" w:rsidRPr="00DA73DB">
        <w:rPr>
          <w:rFonts w:ascii="Palatino Linotype" w:hAnsi="Palatino Linotype"/>
          <w:lang w:val="en-US"/>
        </w:rPr>
        <w:t xml:space="preserve">. Sukuk daerah memungkinkan pemerintah daerah mengurangi ketergantungan pada APBD yang terbatas, sekaligus memberikan kesempatan bagi masyarakat lokal untuk berinvestasi. </w:t>
      </w:r>
      <w:r w:rsidR="009D7196" w:rsidRPr="00DA73DB">
        <w:rPr>
          <w:rFonts w:ascii="Palatino Linotype" w:hAnsi="Palatino Linotype"/>
          <w:lang w:val="en-US"/>
        </w:rPr>
        <w:t>Meskipun mekanisme penerbitan sukuk daerah melibatkan pihak-pihak yang serupa dengan sukuk negara dan korporasi, terdapat perbedaan penting, yaitu keterlibatan DPRD dalam memberikan persetujuan penerbitan sukuk daerah, serta kewajiban pengajuan rencana penerbitan kepada Menteri Keuangan dan Menteri Dalam Negeri.</w:t>
      </w:r>
      <w:r w:rsidR="00D2796E" w:rsidRPr="00DA73DB">
        <w:rPr>
          <w:rFonts w:ascii="Palatino Linotype" w:hAnsi="Palatino Linotype"/>
          <w:lang w:val="en-US"/>
        </w:rPr>
        <w:t xml:space="preserve"> Penerbitan sukuk daerah di Indonesia </w:t>
      </w:r>
      <w:r w:rsidR="0014414D" w:rsidRPr="00DA73DB">
        <w:rPr>
          <w:rFonts w:ascii="Palatino Linotype" w:hAnsi="Palatino Linotype"/>
          <w:lang w:val="en-US"/>
        </w:rPr>
        <w:t>hanya dapat</w:t>
      </w:r>
      <w:r w:rsidR="00D2796E" w:rsidRPr="00DA73DB">
        <w:rPr>
          <w:rFonts w:ascii="Palatino Linotype" w:hAnsi="Palatino Linotype"/>
          <w:lang w:val="en-US"/>
        </w:rPr>
        <w:t xml:space="preserve"> dilakukan melalui penawaran umum di pasar modal domestik</w:t>
      </w:r>
      <w:r w:rsidR="0014414D" w:rsidRPr="00DA73DB">
        <w:rPr>
          <w:rFonts w:ascii="Palatino Linotype" w:hAnsi="Palatino Linotype"/>
          <w:lang w:val="en-US"/>
        </w:rPr>
        <w:t xml:space="preserve">. </w:t>
      </w:r>
    </w:p>
    <w:p w14:paraId="5F5AD876" w14:textId="3CAC28EE" w:rsidR="00D23AE4" w:rsidRPr="00DA73DB" w:rsidRDefault="00D23AE4" w:rsidP="0014414D">
      <w:pPr>
        <w:spacing w:after="0" w:line="240" w:lineRule="auto"/>
        <w:ind w:firstLine="340"/>
        <w:jc w:val="both"/>
        <w:rPr>
          <w:rFonts w:ascii="Palatino Linotype" w:hAnsi="Palatino Linotype"/>
          <w:lang w:val="nl-NL"/>
        </w:rPr>
      </w:pPr>
      <w:r w:rsidRPr="00DA73DB">
        <w:rPr>
          <w:rFonts w:ascii="Palatino Linotype" w:hAnsi="Palatino Linotype"/>
          <w:lang w:val="en-US"/>
        </w:rPr>
        <w:t xml:space="preserve">Dalam hal </w:t>
      </w:r>
      <w:r w:rsidRPr="00DA73DB">
        <w:rPr>
          <w:rFonts w:ascii="Palatino Linotype" w:hAnsi="Palatino Linotype"/>
          <w:i/>
          <w:lang w:val="en-US"/>
        </w:rPr>
        <w:t>green</w:t>
      </w:r>
      <w:r w:rsidRPr="00DA73DB">
        <w:rPr>
          <w:rFonts w:ascii="Palatino Linotype" w:hAnsi="Palatino Linotype"/>
          <w:lang w:val="en-US"/>
        </w:rPr>
        <w:t xml:space="preserve"> sukuk, instrumen ini merupakan bentuk khusus dari sukuk yang dirancang untuk membiayai proyek-proyek yang mendukung pembangunan berkelanjutan, terutama yang berfokus pada pelestarian lingkungan. </w:t>
      </w:r>
      <w:r w:rsidRPr="00DA73DB">
        <w:rPr>
          <w:rFonts w:ascii="Palatino Linotype" w:hAnsi="Palatino Linotype"/>
          <w:lang w:val="nl-NL"/>
        </w:rPr>
        <w:t xml:space="preserve">Perbedaan utama antara </w:t>
      </w:r>
      <w:r w:rsidRPr="00DA73DB">
        <w:rPr>
          <w:rFonts w:ascii="Palatino Linotype" w:hAnsi="Palatino Linotype"/>
          <w:i/>
          <w:lang w:val="nl-NL"/>
        </w:rPr>
        <w:t>green</w:t>
      </w:r>
      <w:r w:rsidRPr="00DA73DB">
        <w:rPr>
          <w:rFonts w:ascii="Palatino Linotype" w:hAnsi="Palatino Linotype"/>
          <w:lang w:val="nl-NL"/>
        </w:rPr>
        <w:t xml:space="preserve"> sukuk dan sukuk terletak pada penggunaan dan alokasi dana. </w:t>
      </w:r>
      <w:r w:rsidRPr="00DA73DB">
        <w:rPr>
          <w:rFonts w:ascii="Palatino Linotype" w:hAnsi="Palatino Linotype"/>
          <w:i/>
          <w:lang w:val="nl-NL"/>
        </w:rPr>
        <w:t>Green</w:t>
      </w:r>
      <w:r w:rsidRPr="00DA73DB">
        <w:rPr>
          <w:rFonts w:ascii="Palatino Linotype" w:hAnsi="Palatino Linotype"/>
          <w:lang w:val="nl-NL"/>
        </w:rPr>
        <w:t xml:space="preserve"> sukuk memastikan bahwa hasil penerbitan digunakan untuk proyek-proyek hijau yang ramah lingkungan, seperti energi terbarukan, pengelolaan limbah, dan konservasi sumber daya alam. Dengan demikian, </w:t>
      </w:r>
      <w:r w:rsidRPr="00DA73DB">
        <w:rPr>
          <w:rFonts w:ascii="Palatino Linotype" w:hAnsi="Palatino Linotype"/>
          <w:i/>
          <w:lang w:val="nl-NL"/>
        </w:rPr>
        <w:t>green</w:t>
      </w:r>
      <w:r w:rsidRPr="00DA73DB">
        <w:rPr>
          <w:rFonts w:ascii="Palatino Linotype" w:hAnsi="Palatino Linotype"/>
          <w:lang w:val="nl-NL"/>
        </w:rPr>
        <w:t xml:space="preserve"> sukuk tidak hanya berfungsi sebagai instrumen keuangan syariah, </w:t>
      </w:r>
      <w:r w:rsidR="005934B7" w:rsidRPr="00DA73DB">
        <w:rPr>
          <w:rFonts w:ascii="Palatino Linotype" w:hAnsi="Palatino Linotype"/>
          <w:lang w:val="nl-NL"/>
        </w:rPr>
        <w:t>tetapi juga menjadi instrumen untuk mendukung proyek-proyek berkelanjutan dan pertumbuhan ekonomi yang ramah lingkungan.</w:t>
      </w:r>
    </w:p>
    <w:p w14:paraId="0E6297E3" w14:textId="6D924FC1" w:rsidR="00666EA1" w:rsidRPr="00DA73DB" w:rsidRDefault="008B2A05" w:rsidP="008B2A05">
      <w:pPr>
        <w:spacing w:after="0" w:line="240" w:lineRule="auto"/>
        <w:ind w:firstLine="340"/>
        <w:jc w:val="both"/>
        <w:rPr>
          <w:rFonts w:ascii="Palatino Linotype" w:hAnsi="Palatino Linotype"/>
          <w:lang w:val="nl-NL"/>
        </w:rPr>
      </w:pPr>
      <w:r w:rsidRPr="00DA73DB">
        <w:rPr>
          <w:rFonts w:ascii="Palatino Linotype" w:hAnsi="Palatino Linotype"/>
          <w:lang w:val="nl-NL"/>
        </w:rPr>
        <w:br w:type="page"/>
      </w:r>
    </w:p>
    <w:p w14:paraId="58B3B9EA" w14:textId="70795ECF" w:rsidR="00C95AAC" w:rsidRPr="00DA73DB" w:rsidRDefault="00A51139" w:rsidP="008B2A05">
      <w:pPr>
        <w:spacing w:line="240" w:lineRule="auto"/>
        <w:jc w:val="center"/>
        <w:rPr>
          <w:rFonts w:ascii="Palatino Linotype" w:hAnsi="Palatino Linotype"/>
          <w:b/>
          <w:lang w:val="nl-NL"/>
        </w:rPr>
      </w:pPr>
      <w:r w:rsidRPr="00DA73DB">
        <w:rPr>
          <w:rFonts w:ascii="Palatino Linotype" w:hAnsi="Palatino Linotype"/>
          <w:b/>
          <w:lang w:val="nl-NL"/>
        </w:rPr>
        <w:t>Daftar Pustaka</w:t>
      </w:r>
    </w:p>
    <w:p w14:paraId="0F5F1E5F" w14:textId="5B17BC82" w:rsidR="007F4519" w:rsidRPr="00DA73DB" w:rsidRDefault="007F4519" w:rsidP="00A647CE">
      <w:pPr>
        <w:spacing w:after="0" w:line="240" w:lineRule="auto"/>
        <w:ind w:left="284" w:hanging="284"/>
        <w:jc w:val="both"/>
        <w:rPr>
          <w:rFonts w:ascii="Palatino Linotype" w:hAnsi="Palatino Linotype"/>
          <w:b/>
          <w:lang w:val="nl-NL"/>
        </w:rPr>
      </w:pPr>
      <w:r w:rsidRPr="00DA73DB">
        <w:rPr>
          <w:rFonts w:ascii="Palatino Linotype" w:hAnsi="Palatino Linotype"/>
          <w:b/>
          <w:lang w:val="nl-NL"/>
        </w:rPr>
        <w:t>Buku</w:t>
      </w:r>
    </w:p>
    <w:p w14:paraId="06D9430A" w14:textId="118D0791" w:rsidR="00221984" w:rsidRPr="00DA73DB" w:rsidRDefault="00221984" w:rsidP="00221984">
      <w:pPr>
        <w:spacing w:after="0" w:line="240" w:lineRule="auto"/>
        <w:ind w:left="284" w:hanging="284"/>
        <w:jc w:val="both"/>
        <w:rPr>
          <w:rFonts w:ascii="Palatino Linotype" w:hAnsi="Palatino Linotype"/>
          <w:lang w:val="nl-NL"/>
        </w:rPr>
      </w:pPr>
      <w:r w:rsidRPr="00DA73DB">
        <w:rPr>
          <w:rFonts w:ascii="Palatino Linotype" w:hAnsi="Palatino Linotype"/>
          <w:lang w:val="nl-NL"/>
        </w:rPr>
        <w:t xml:space="preserve">Budi S. Purnomo, </w:t>
      </w:r>
      <w:r w:rsidRPr="00DA73DB">
        <w:rPr>
          <w:rFonts w:ascii="Palatino Linotype" w:hAnsi="Palatino Linotype"/>
          <w:i/>
          <w:lang w:val="nl-NL"/>
        </w:rPr>
        <w:t>Obligasi Daerah: Alternatif Investasi bagi Masyarakat dan Sumber Pendanaan bagi Pemerintah Daerah</w:t>
      </w:r>
      <w:r w:rsidRPr="00DA73DB">
        <w:rPr>
          <w:rFonts w:ascii="Palatino Linotype" w:hAnsi="Palatino Linotype"/>
          <w:lang w:val="nl-NL"/>
        </w:rPr>
        <w:t xml:space="preserve"> (Bandung: Alfabeta, 2009)</w:t>
      </w:r>
      <w:r w:rsidR="003050E1" w:rsidRPr="00DA73DB">
        <w:rPr>
          <w:rFonts w:ascii="Palatino Linotype" w:hAnsi="Palatino Linotype"/>
          <w:lang w:val="nl-NL"/>
        </w:rPr>
        <w:t>.</w:t>
      </w:r>
    </w:p>
    <w:p w14:paraId="2B7C8DC4" w14:textId="33A2A9C3" w:rsidR="00221984" w:rsidRPr="00DA73DB" w:rsidRDefault="00221984" w:rsidP="00221984">
      <w:pPr>
        <w:spacing w:after="0" w:line="240" w:lineRule="auto"/>
        <w:ind w:left="284" w:hanging="284"/>
        <w:jc w:val="both"/>
        <w:rPr>
          <w:rFonts w:ascii="Palatino Linotype" w:hAnsi="Palatino Linotype"/>
          <w:lang w:val="nl-NL"/>
        </w:rPr>
      </w:pPr>
      <w:r w:rsidRPr="00DA73DB">
        <w:rPr>
          <w:rFonts w:ascii="Palatino Linotype" w:hAnsi="Palatino Linotype"/>
          <w:lang w:val="nl-NL"/>
        </w:rPr>
        <w:t xml:space="preserve">Direktorat Pembiayaan Syariah Kementerian Keuangan Republik Indonesia, </w:t>
      </w:r>
      <w:r w:rsidRPr="00DA73DB">
        <w:rPr>
          <w:rFonts w:ascii="Palatino Linotype" w:hAnsi="Palatino Linotype"/>
          <w:i/>
          <w:lang w:val="nl-NL"/>
        </w:rPr>
        <w:t>Tanya Jawab Surat Berharga Syariah Negara (Sukuk Negara)</w:t>
      </w:r>
      <w:r w:rsidRPr="00DA73DB">
        <w:rPr>
          <w:rFonts w:ascii="Palatino Linotype" w:hAnsi="Palatino Linotype"/>
          <w:lang w:val="nl-NL"/>
        </w:rPr>
        <w:t xml:space="preserve"> (Jakarta: Direktorat Pembiayaan Syariah, 2010)</w:t>
      </w:r>
      <w:r w:rsidR="003050E1" w:rsidRPr="00DA73DB">
        <w:rPr>
          <w:rFonts w:ascii="Palatino Linotype" w:hAnsi="Palatino Linotype"/>
          <w:lang w:val="nl-NL"/>
        </w:rPr>
        <w:t>.</w:t>
      </w:r>
    </w:p>
    <w:p w14:paraId="259286E4" w14:textId="2C1E8FBA" w:rsidR="00221984" w:rsidRPr="00DA73DB" w:rsidRDefault="00221984" w:rsidP="00221984">
      <w:pPr>
        <w:spacing w:after="0" w:line="240" w:lineRule="auto"/>
        <w:ind w:left="284" w:hanging="284"/>
        <w:jc w:val="both"/>
        <w:rPr>
          <w:rFonts w:ascii="Palatino Linotype" w:hAnsi="Palatino Linotype"/>
          <w:lang w:val="nl-NL"/>
        </w:rPr>
      </w:pPr>
      <w:r w:rsidRPr="00DA73DB">
        <w:rPr>
          <w:rFonts w:ascii="Palatino Linotype" w:hAnsi="Palatino Linotype"/>
          <w:lang w:val="nl-NL"/>
        </w:rPr>
        <w:t xml:space="preserve">Direktorat Pembiayaan Syariah (KEMENKEU), </w:t>
      </w:r>
      <w:r w:rsidRPr="00DA73DB">
        <w:rPr>
          <w:rFonts w:ascii="Palatino Linotype" w:hAnsi="Palatino Linotype"/>
          <w:i/>
          <w:lang w:val="nl-NL"/>
        </w:rPr>
        <w:t>Sukuk Negara: Instrumen Keuangan Berbasis Syariah</w:t>
      </w:r>
      <w:r w:rsidRPr="00DA73DB">
        <w:rPr>
          <w:rFonts w:ascii="Palatino Linotype" w:hAnsi="Palatino Linotype"/>
          <w:lang w:val="nl-NL"/>
        </w:rPr>
        <w:t xml:space="preserve"> (Jakarta: DJPPR Kemenkeu, 2015).</w:t>
      </w:r>
    </w:p>
    <w:p w14:paraId="5C4A4B20" w14:textId="19ED35D2" w:rsidR="000227A1" w:rsidRPr="00DA73DB" w:rsidRDefault="000227A1" w:rsidP="00A647CE">
      <w:pPr>
        <w:spacing w:after="0" w:line="240" w:lineRule="auto"/>
        <w:ind w:left="284" w:hanging="284"/>
        <w:jc w:val="both"/>
        <w:rPr>
          <w:rFonts w:ascii="Palatino Linotype" w:hAnsi="Palatino Linotype"/>
          <w:lang w:val="nl-NL"/>
        </w:rPr>
      </w:pPr>
    </w:p>
    <w:p w14:paraId="3125E3BD" w14:textId="1530E21D" w:rsidR="008B2A05" w:rsidRPr="00DA73DB" w:rsidRDefault="008B2A05" w:rsidP="00A647CE">
      <w:pPr>
        <w:spacing w:after="0" w:line="240" w:lineRule="auto"/>
        <w:ind w:left="284" w:hanging="284"/>
        <w:jc w:val="both"/>
        <w:rPr>
          <w:rFonts w:ascii="Palatino Linotype" w:hAnsi="Palatino Linotype"/>
          <w:lang w:val="en-US"/>
        </w:rPr>
      </w:pPr>
      <w:r w:rsidRPr="00DA73DB">
        <w:rPr>
          <w:rFonts w:ascii="Palatino Linotype" w:hAnsi="Palatino Linotype"/>
          <w:b/>
          <w:lang w:val="en-US"/>
        </w:rPr>
        <w:t>Jurnal</w:t>
      </w:r>
    </w:p>
    <w:p w14:paraId="2B911D45" w14:textId="6D97A269"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Achmad Helmi, Sri Prabandiyani RW, and Bambang Riyanto. “Sistem Keuangan Syariah Untuk Peningkatan Investasi Swasta Pada Pembiayaan Infrastruktur Di Indonesia.” Prosiding Simposium II, Volume 2, 2017</w:t>
      </w:r>
      <w:r w:rsidR="003050E1" w:rsidRPr="00DA73DB">
        <w:rPr>
          <w:rFonts w:ascii="Palatino Linotype" w:hAnsi="Palatino Linotype"/>
          <w:lang w:val="en-US"/>
        </w:rPr>
        <w:t>.</w:t>
      </w:r>
    </w:p>
    <w:p w14:paraId="5C6E3DF6" w14:textId="1334F2F1"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AJW Mahri, et al. Ekonomi Pembangunan Islam. Jakarta: Departemen Ekonomi dan Keuangan Syariah – Bank Indonesia, 2021</w:t>
      </w:r>
      <w:r w:rsidR="003050E1" w:rsidRPr="00DA73DB">
        <w:rPr>
          <w:rFonts w:ascii="Palatino Linotype" w:hAnsi="Palatino Linotype"/>
          <w:lang w:val="en-US"/>
        </w:rPr>
        <w:t>.</w:t>
      </w:r>
    </w:p>
    <w:p w14:paraId="5A62EF32" w14:textId="74900743"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Bahril, Datuk. “Sukuk Dimensi Baru Pembiayaan Pemerintah untuk Pertumbuhan Ekonomi.” Jurnal Riset Akuntansi dan Bisnis, Volume 14 Nomor 1, 2014</w:t>
      </w:r>
      <w:r w:rsidR="003050E1" w:rsidRPr="00DA73DB">
        <w:rPr>
          <w:rFonts w:ascii="Palatino Linotype" w:hAnsi="Palatino Linotype"/>
          <w:lang w:val="en-US"/>
        </w:rPr>
        <w:t>.</w:t>
      </w:r>
    </w:p>
    <w:p w14:paraId="49BE55BE" w14:textId="7181C423"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Beik. “Memperkuat Peran Sukuk Negara dalam Pembangunan Ekonomi Indonesia.” Jurnal Ekonomi Islam Al-Infaq, Volume 2 Nomor 2, 2011</w:t>
      </w:r>
      <w:r w:rsidR="003050E1" w:rsidRPr="00DA73DB">
        <w:rPr>
          <w:rFonts w:ascii="Palatino Linotype" w:hAnsi="Palatino Linotype"/>
          <w:lang w:val="en-US"/>
        </w:rPr>
        <w:t>.</w:t>
      </w:r>
    </w:p>
    <w:p w14:paraId="710FFCA5" w14:textId="4C42AE39"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Davood Manzoor, Majid, and Ali. “Financing Infrastructure Projects Based on Risk Sharing Model: Istisna Sukuk.” Journal of Emerging Economies and Islamic Research, Volume 5 Nomor 3, 2017</w:t>
      </w:r>
      <w:r w:rsidR="003050E1" w:rsidRPr="00DA73DB">
        <w:rPr>
          <w:rFonts w:ascii="Palatino Linotype" w:hAnsi="Palatino Linotype"/>
          <w:lang w:val="en-US"/>
        </w:rPr>
        <w:t>.</w:t>
      </w:r>
    </w:p>
    <w:p w14:paraId="26581E12" w14:textId="0A6D6B99"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Dede Abdul Fatah. “Perkembangan Obligasi Syariah (Sukuk) di Indonesia: Analisis Peluang dan Tantangan.” Jurnal Al-‘Adalah, Volume 10 Nomor 1, 2011</w:t>
      </w:r>
      <w:r w:rsidR="003050E1" w:rsidRPr="00DA73DB">
        <w:rPr>
          <w:rFonts w:ascii="Palatino Linotype" w:hAnsi="Palatino Linotype"/>
          <w:lang w:val="en-US"/>
        </w:rPr>
        <w:t>.</w:t>
      </w:r>
    </w:p>
    <w:p w14:paraId="49072E9C" w14:textId="0CDFFBDC"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Hapil Hanapi. “Penerapan Sukuk dan Obligasi Syariah di Indonesia.” Jurnal Ilmu Akuntansi dan Bisnis Syariah, Volume 1 Nomor 2, 2019</w:t>
      </w:r>
      <w:r w:rsidR="003050E1" w:rsidRPr="00DA73DB">
        <w:rPr>
          <w:rFonts w:ascii="Palatino Linotype" w:hAnsi="Palatino Linotype"/>
          <w:lang w:val="en-US"/>
        </w:rPr>
        <w:t>.</w:t>
      </w:r>
    </w:p>
    <w:p w14:paraId="4DC0C049" w14:textId="7EB3730F"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Ika Indriasari. “Sukuk sebagai Alternatif Instrumen Investasi dan Pendanaan.” Jurnal Bisnis dan Manajemen Islam, Volume 1 Nomor 1, 2018</w:t>
      </w:r>
      <w:r w:rsidR="003050E1" w:rsidRPr="00DA73DB">
        <w:rPr>
          <w:rFonts w:ascii="Palatino Linotype" w:hAnsi="Palatino Linotype"/>
          <w:lang w:val="en-US"/>
        </w:rPr>
        <w:t>.</w:t>
      </w:r>
    </w:p>
    <w:p w14:paraId="17CB7AD3" w14:textId="7848D5A7"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Maula Robin H, Diah Putri, and Kharis Fahullah. “Peran Sukuk Terhadap Pembangunan Infrastruktur.” Jurnal Al-Mutharahah, Volume 17 Nomor 1, 2020</w:t>
      </w:r>
      <w:r w:rsidR="003050E1" w:rsidRPr="00DA73DB">
        <w:rPr>
          <w:rFonts w:ascii="Palatino Linotype" w:hAnsi="Palatino Linotype"/>
          <w:lang w:val="en-US"/>
        </w:rPr>
        <w:t>.</w:t>
      </w:r>
    </w:p>
    <w:p w14:paraId="7F2EB4FF" w14:textId="21A0FC93"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Miftahul Rahmawati. “Analisis Sukuk Negara sebagai Alternatif Pembiayaan APBN.” Jurnal An-Nisbah, Volume 5 Nomor 1, 2018.</w:t>
      </w:r>
    </w:p>
    <w:p w14:paraId="3A85EE67" w14:textId="21A74151"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Mohamed Ariff. Sukuk Securities: New Ways of Debt Contracting. Singapore: John Wiley &amp; Sons, 2014.</w:t>
      </w:r>
    </w:p>
    <w:p w14:paraId="0D0E38C8" w14:textId="43BF5709" w:rsidR="005B5874" w:rsidRPr="00DA73DB" w:rsidRDefault="005B5874" w:rsidP="00A647CE">
      <w:pPr>
        <w:spacing w:after="0" w:line="240" w:lineRule="auto"/>
        <w:ind w:left="284" w:hanging="284"/>
        <w:jc w:val="both"/>
        <w:rPr>
          <w:rFonts w:ascii="Palatino Linotype" w:hAnsi="Palatino Linotype"/>
          <w:lang w:val="nl-NL"/>
        </w:rPr>
      </w:pPr>
      <w:r w:rsidRPr="00DA73DB">
        <w:rPr>
          <w:rFonts w:ascii="Palatino Linotype" w:hAnsi="Palatino Linotype"/>
          <w:lang w:val="en-US"/>
        </w:rPr>
        <w:t xml:space="preserve">Nazaruddin Abdul Wahid. Sukuk Memahami dan Membedah Obligasi. </w:t>
      </w:r>
      <w:r w:rsidRPr="00DA73DB">
        <w:rPr>
          <w:rFonts w:ascii="Palatino Linotype" w:hAnsi="Palatino Linotype"/>
          <w:lang w:val="nl-NL"/>
        </w:rPr>
        <w:t>Yogyakarta: AR-Ruzz Media, 2010.</w:t>
      </w:r>
    </w:p>
    <w:p w14:paraId="572937AF" w14:textId="39D299B6"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nl-NL"/>
        </w:rPr>
        <w:t xml:space="preserve">Nenden Suwardini. </w:t>
      </w:r>
      <w:r w:rsidRPr="00DA73DB">
        <w:rPr>
          <w:rFonts w:ascii="Palatino Linotype" w:hAnsi="Palatino Linotype"/>
          <w:lang w:val="en-US"/>
        </w:rPr>
        <w:t>“Telaahan tentang Rencana Penerbitan Obligasi Daerah dan/atau Sukuk Daerah di Jawa Barat.” Bappenas Working Papers, Volume 6 Nomor 2, 2023.</w:t>
      </w:r>
    </w:p>
    <w:p w14:paraId="2F451A12" w14:textId="5BF4B57B"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Novia Khairunnisa, Hafas Furqani, and Dara Amanatillah. “Sukuk dan Pembangunan Infrastruktur di Indonesia (Analisis Peran dan Manfaat Sukuk untuk Pembangunan Indonesia).” Jurnal Ekobis, Volume 1 Nomor 2, 2017.</w:t>
      </w:r>
    </w:p>
    <w:p w14:paraId="4624DF19" w14:textId="4D58D22D"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 xml:space="preserve">Ridho Erianto, Muhammad Satrya Mutthaqin, and Marliyah. </w:t>
      </w:r>
      <w:r w:rsidRPr="00DA73DB">
        <w:rPr>
          <w:rFonts w:ascii="Palatino Linotype" w:hAnsi="Palatino Linotype"/>
          <w:lang w:val="nl-NL"/>
        </w:rPr>
        <w:t xml:space="preserve">“Urgensi Green Sukuk dalam Menjaga Keberlangsungan Lingkungan Hidup di Indonesia.” </w:t>
      </w:r>
      <w:r w:rsidRPr="00DA73DB">
        <w:rPr>
          <w:rFonts w:ascii="Palatino Linotype" w:hAnsi="Palatino Linotype"/>
          <w:lang w:val="en-US"/>
        </w:rPr>
        <w:t>Jurnal Asy-Syarikah, Volume 6 Nomor 1, 2024.</w:t>
      </w:r>
    </w:p>
    <w:p w14:paraId="16265E56" w14:textId="0AB41E01"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Sofyan Syafri Harahap. “Sukuk sebagai Instrument Pendanaan Negara.” Jurnal Ekonomi Islam, Volume 2 Nomor 2, 2008.</w:t>
      </w:r>
    </w:p>
    <w:p w14:paraId="1B3D5980" w14:textId="4A12094B" w:rsidR="005B5874" w:rsidRPr="00DA73DB" w:rsidRDefault="005B5874" w:rsidP="00A647CE">
      <w:pPr>
        <w:spacing w:after="0" w:line="240" w:lineRule="auto"/>
        <w:ind w:left="284" w:hanging="284"/>
        <w:jc w:val="both"/>
        <w:rPr>
          <w:rFonts w:ascii="Palatino Linotype" w:hAnsi="Palatino Linotype"/>
          <w:lang w:val="nl-NL"/>
        </w:rPr>
      </w:pPr>
      <w:r w:rsidRPr="00DA73DB">
        <w:rPr>
          <w:rFonts w:ascii="Palatino Linotype" w:hAnsi="Palatino Linotype"/>
          <w:lang w:val="en-US"/>
        </w:rPr>
        <w:t xml:space="preserve">Thuba and Tita Nursyamsiah Jazil. </w:t>
      </w:r>
      <w:r w:rsidRPr="00DA73DB">
        <w:rPr>
          <w:rFonts w:ascii="Palatino Linotype" w:hAnsi="Palatino Linotype"/>
          <w:lang w:val="nl-NL"/>
        </w:rPr>
        <w:t>“Sukuk dan Aspek Kepatuhan Syariah.” Jurnal Ekonomi Islam Republika, 2016.</w:t>
      </w:r>
    </w:p>
    <w:p w14:paraId="45496F49" w14:textId="78B877EF" w:rsidR="005B587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nl-NL"/>
        </w:rPr>
        <w:t xml:space="preserve">Wurjanto Nopijantoro. “Surat Berharga Syariah Negara Project Based Sukuk (SBSN PBS): Sebuah Instrumen Alternatif Partisipasi Publik dalam Pembiayaan Infrastruktur.” </w:t>
      </w:r>
      <w:r w:rsidRPr="00DA73DB">
        <w:rPr>
          <w:rFonts w:ascii="Palatino Linotype" w:hAnsi="Palatino Linotype"/>
          <w:lang w:val="en-US"/>
        </w:rPr>
        <w:t>Jurnal Substansi, Volume 1 Nomor 2, 2017.</w:t>
      </w:r>
    </w:p>
    <w:p w14:paraId="2E0DE8D9" w14:textId="2D3F2899" w:rsidR="00567D24" w:rsidRPr="00DA73DB" w:rsidRDefault="005B5874"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Yash Majeethia and Tushar Bose. “Islamic Financial Instruments: An Opportunity for Financing Infrastructure in India.” Journal of Business Management and Social Sciences Research, Volume 3 Nomor 5, 2014.</w:t>
      </w:r>
    </w:p>
    <w:p w14:paraId="259956CD" w14:textId="77777777" w:rsidR="00B611E6" w:rsidRPr="00DA73DB" w:rsidRDefault="00B611E6" w:rsidP="00A647CE">
      <w:pPr>
        <w:spacing w:after="0" w:line="240" w:lineRule="auto"/>
        <w:ind w:left="284" w:hanging="284"/>
        <w:jc w:val="both"/>
        <w:rPr>
          <w:rFonts w:ascii="Palatino Linotype" w:hAnsi="Palatino Linotype"/>
          <w:lang w:val="en-US"/>
        </w:rPr>
      </w:pPr>
    </w:p>
    <w:p w14:paraId="5C03007F" w14:textId="2101E7D2" w:rsidR="00686380" w:rsidRPr="00DA73DB" w:rsidRDefault="00686380" w:rsidP="00A647CE">
      <w:pPr>
        <w:spacing w:after="0" w:line="240" w:lineRule="auto"/>
        <w:ind w:left="284" w:hanging="284"/>
        <w:jc w:val="both"/>
        <w:rPr>
          <w:rFonts w:ascii="Palatino Linotype" w:hAnsi="Palatino Linotype"/>
          <w:b/>
          <w:lang w:val="en-US"/>
        </w:rPr>
      </w:pPr>
      <w:r w:rsidRPr="00DA73DB">
        <w:rPr>
          <w:rFonts w:ascii="Palatino Linotype" w:hAnsi="Palatino Linotype"/>
          <w:b/>
          <w:lang w:val="en-US"/>
        </w:rPr>
        <w:t>Peraturan</w:t>
      </w:r>
    </w:p>
    <w:p w14:paraId="34F5B776" w14:textId="3F133F2B" w:rsidR="00C21CAA" w:rsidRPr="00DA73DB" w:rsidRDefault="00C21CAA"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Undang-Undang Dasar 1945</w:t>
      </w:r>
      <w:r w:rsidR="003050E1" w:rsidRPr="00DA73DB">
        <w:rPr>
          <w:rFonts w:ascii="Palatino Linotype" w:hAnsi="Palatino Linotype"/>
          <w:lang w:val="en-US"/>
        </w:rPr>
        <w:t>.</w:t>
      </w:r>
    </w:p>
    <w:p w14:paraId="7249525C" w14:textId="0BC54C53" w:rsidR="004E52B2" w:rsidRPr="00DA73DB" w:rsidRDefault="004E52B2"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Undang-Undang Nomor 8 Tahun 1995</w:t>
      </w:r>
      <w:r w:rsidR="00966604" w:rsidRPr="00DA73DB">
        <w:rPr>
          <w:rFonts w:ascii="Palatino Linotype" w:hAnsi="Palatino Linotype"/>
          <w:lang w:val="en-US"/>
        </w:rPr>
        <w:t xml:space="preserve"> tentang Pasar Modal</w:t>
      </w:r>
      <w:r w:rsidR="003050E1" w:rsidRPr="00DA73DB">
        <w:rPr>
          <w:rFonts w:ascii="Palatino Linotype" w:hAnsi="Palatino Linotype"/>
          <w:lang w:val="en-US"/>
        </w:rPr>
        <w:t>.</w:t>
      </w:r>
    </w:p>
    <w:p w14:paraId="6C587904" w14:textId="4C6013EC" w:rsidR="00B75C4D" w:rsidRPr="00DA73DB" w:rsidRDefault="00B75C4D"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Undang-Undang No. 4 Tahun 2023 tentang Pengembangan dan Penguatan Sektor Keuangan</w:t>
      </w:r>
      <w:r w:rsidR="003050E1" w:rsidRPr="00DA73DB">
        <w:rPr>
          <w:rFonts w:ascii="Palatino Linotype" w:hAnsi="Palatino Linotype"/>
          <w:lang w:val="en-US"/>
        </w:rPr>
        <w:t>.</w:t>
      </w:r>
    </w:p>
    <w:p w14:paraId="31F5038F" w14:textId="387745DB" w:rsidR="000227A1" w:rsidRPr="00DA73DB" w:rsidRDefault="000227A1"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Peraturan Pemerintah Nomor 1 Tahun 2024</w:t>
      </w:r>
      <w:r w:rsidR="00AE2352" w:rsidRPr="00DA73DB">
        <w:rPr>
          <w:rFonts w:ascii="Palatino Linotype" w:hAnsi="Palatino Linotype"/>
          <w:lang w:val="en-US"/>
        </w:rPr>
        <w:t xml:space="preserve"> tentang Harmonisasi Kebijakan Fiskal Nasional</w:t>
      </w:r>
      <w:r w:rsidR="003050E1" w:rsidRPr="00DA73DB">
        <w:rPr>
          <w:rFonts w:ascii="Palatino Linotype" w:hAnsi="Palatino Linotype"/>
          <w:lang w:val="en-US"/>
        </w:rPr>
        <w:t>.</w:t>
      </w:r>
    </w:p>
    <w:p w14:paraId="2ADB96E2" w14:textId="20E7C403" w:rsidR="00C21CAA" w:rsidRPr="00DA73DB" w:rsidRDefault="00C21CAA" w:rsidP="00A647CE">
      <w:pPr>
        <w:spacing w:after="0" w:line="240" w:lineRule="auto"/>
        <w:ind w:left="284" w:hanging="284"/>
        <w:jc w:val="both"/>
        <w:rPr>
          <w:rFonts w:ascii="Palatino Linotype" w:hAnsi="Palatino Linotype"/>
        </w:rPr>
      </w:pPr>
      <w:r w:rsidRPr="00DA73DB">
        <w:rPr>
          <w:rFonts w:ascii="Palatino Linotype" w:hAnsi="Palatino Linotype"/>
        </w:rPr>
        <w:t>Peraturan Presiden Nomor 2 Tahun 2015</w:t>
      </w:r>
      <w:r w:rsidR="00AE2352" w:rsidRPr="00DA73DB">
        <w:rPr>
          <w:rFonts w:ascii="Palatino Linotype" w:hAnsi="Palatino Linotype"/>
        </w:rPr>
        <w:t xml:space="preserve"> tentang Rencana Pembangunan Jangka Menengah Nasional Tahun 2015 – 2019</w:t>
      </w:r>
      <w:r w:rsidR="003050E1" w:rsidRPr="00DA73DB">
        <w:rPr>
          <w:rFonts w:ascii="Palatino Linotype" w:hAnsi="Palatino Linotype"/>
        </w:rPr>
        <w:t>.</w:t>
      </w:r>
    </w:p>
    <w:p w14:paraId="73B68FEB" w14:textId="14702DDA" w:rsidR="00C21CAA" w:rsidRPr="00DA73DB" w:rsidRDefault="00C21CAA" w:rsidP="00A647CE">
      <w:pPr>
        <w:spacing w:after="0" w:line="240" w:lineRule="auto"/>
        <w:ind w:left="284" w:hanging="284"/>
        <w:jc w:val="both"/>
        <w:rPr>
          <w:rFonts w:ascii="Palatino Linotype" w:hAnsi="Palatino Linotype"/>
          <w:lang w:val="en-US"/>
        </w:rPr>
      </w:pPr>
      <w:r w:rsidRPr="00DA73DB">
        <w:rPr>
          <w:rFonts w:ascii="Palatino Linotype" w:hAnsi="Palatino Linotype"/>
        </w:rPr>
        <w:t>Peraturan Presiden Nomor 18 Tahun 2020</w:t>
      </w:r>
      <w:r w:rsidR="00A1562A" w:rsidRPr="00DA73DB">
        <w:rPr>
          <w:rFonts w:ascii="Palatino Linotype" w:hAnsi="Palatino Linotype"/>
        </w:rPr>
        <w:t xml:space="preserve"> tentang Rencana Pembangunan Jangka Menengah Nasional Tahun 2020-2024</w:t>
      </w:r>
      <w:r w:rsidR="003050E1" w:rsidRPr="00DA73DB">
        <w:rPr>
          <w:rFonts w:ascii="Palatino Linotype" w:hAnsi="Palatino Linotype"/>
        </w:rPr>
        <w:t>.</w:t>
      </w:r>
    </w:p>
    <w:p w14:paraId="53E78DE0" w14:textId="2AF2A458" w:rsidR="00AA69D7" w:rsidRPr="00DA73DB" w:rsidRDefault="00AA69D7"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 xml:space="preserve">Peraturan Gubernur </w:t>
      </w:r>
      <w:r w:rsidR="008702A3" w:rsidRPr="00DA73DB">
        <w:rPr>
          <w:rFonts w:ascii="Palatino Linotype" w:hAnsi="Palatino Linotype"/>
          <w:lang w:val="en-US"/>
        </w:rPr>
        <w:t xml:space="preserve">Provinsi </w:t>
      </w:r>
      <w:r w:rsidRPr="00DA73DB">
        <w:rPr>
          <w:rFonts w:ascii="Palatino Linotype" w:hAnsi="Palatino Linotype"/>
          <w:lang w:val="en-US"/>
        </w:rPr>
        <w:t>DKI Jakarta Nomor 154 Tahun 2017</w:t>
      </w:r>
      <w:r w:rsidR="00A1562A" w:rsidRPr="00DA73DB">
        <w:rPr>
          <w:rFonts w:ascii="Palatino Linotype" w:hAnsi="Palatino Linotype"/>
          <w:lang w:val="en-US"/>
        </w:rPr>
        <w:t xml:space="preserve"> tentang Penugasan kepada Perseroan Terbatas Jakarta Propertindo untuk Penyelenggaraan Prasarana dan Sarana Kereta Api Ringan/ Light Rail Transit</w:t>
      </w:r>
      <w:r w:rsidR="003050E1" w:rsidRPr="00DA73DB">
        <w:rPr>
          <w:rFonts w:ascii="Palatino Linotype" w:hAnsi="Palatino Linotype"/>
          <w:lang w:val="en-US"/>
        </w:rPr>
        <w:t>.</w:t>
      </w:r>
    </w:p>
    <w:p w14:paraId="50F2EC50" w14:textId="03639B5D" w:rsidR="004435C9" w:rsidRPr="00DA73DB" w:rsidRDefault="004435C9"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 xml:space="preserve">Peraturan Otoritas Jasa Keuangan Nomor </w:t>
      </w:r>
      <w:r w:rsidR="007A34AA" w:rsidRPr="00DA73DB">
        <w:rPr>
          <w:rFonts w:ascii="Palatino Linotype" w:hAnsi="Palatino Linotype"/>
          <w:lang w:val="en-US"/>
        </w:rPr>
        <w:t>15/POJK.04/2015 tentang Penerapan Prinsip Syariah di Pasar Modal</w:t>
      </w:r>
      <w:r w:rsidR="003050E1" w:rsidRPr="00DA73DB">
        <w:rPr>
          <w:rFonts w:ascii="Palatino Linotype" w:hAnsi="Palatino Linotype"/>
          <w:lang w:val="en-US"/>
        </w:rPr>
        <w:t>.</w:t>
      </w:r>
    </w:p>
    <w:p w14:paraId="155CBAE8" w14:textId="41E9EB5F" w:rsidR="000227A1" w:rsidRPr="00DA73DB" w:rsidRDefault="000227A1" w:rsidP="00A647CE">
      <w:pPr>
        <w:spacing w:after="0" w:line="240" w:lineRule="auto"/>
        <w:ind w:left="284" w:hanging="284"/>
        <w:jc w:val="both"/>
        <w:rPr>
          <w:rFonts w:ascii="Palatino Linotype" w:hAnsi="Palatino Linotype"/>
        </w:rPr>
      </w:pPr>
      <w:r w:rsidRPr="00DA73DB">
        <w:rPr>
          <w:rFonts w:ascii="Palatino Linotype" w:hAnsi="Palatino Linotype"/>
        </w:rPr>
        <w:t>Peraturan Otoritas Jasa Keuangan Nomor 18/POJK.04/2015</w:t>
      </w:r>
      <w:r w:rsidR="007A34AA" w:rsidRPr="00DA73DB">
        <w:rPr>
          <w:rFonts w:ascii="Palatino Linotype" w:hAnsi="Palatino Linotype"/>
        </w:rPr>
        <w:t xml:space="preserve"> tentang Penerbitan dan Persyaratan Sukuk</w:t>
      </w:r>
      <w:r w:rsidR="003050E1" w:rsidRPr="00DA73DB">
        <w:rPr>
          <w:rFonts w:ascii="Palatino Linotype" w:hAnsi="Palatino Linotype"/>
        </w:rPr>
        <w:t>.</w:t>
      </w:r>
    </w:p>
    <w:p w14:paraId="4F868AA9" w14:textId="408ED8AE" w:rsidR="008702A3" w:rsidRPr="00DA73DB" w:rsidRDefault="008702A3" w:rsidP="00A647CE">
      <w:pPr>
        <w:spacing w:after="0" w:line="240" w:lineRule="auto"/>
        <w:ind w:left="284" w:hanging="284"/>
        <w:jc w:val="both"/>
        <w:rPr>
          <w:rFonts w:ascii="Palatino Linotype" w:hAnsi="Palatino Linotype"/>
        </w:rPr>
      </w:pPr>
      <w:r w:rsidRPr="00DA73DB">
        <w:rPr>
          <w:rFonts w:ascii="Palatino Linotype" w:hAnsi="Palatino Linotype"/>
          <w:lang w:val="en-US"/>
        </w:rPr>
        <w:t>Peraturan Otoritas Jasa Keuangan Nomor 61</w:t>
      </w:r>
      <w:r w:rsidR="001A2595" w:rsidRPr="00DA73DB">
        <w:rPr>
          <w:rFonts w:ascii="Palatino Linotype" w:hAnsi="Palatino Linotype"/>
          <w:lang w:val="en-US"/>
        </w:rPr>
        <w:t>/POJK.04/2017 tentang Dokumen Pernyataan Pendaftaran dalam Rangka Penawaran Umum Obligasi Daerah dan/atau Sukuk Daerah</w:t>
      </w:r>
      <w:r w:rsidR="003050E1" w:rsidRPr="00DA73DB">
        <w:rPr>
          <w:rFonts w:ascii="Palatino Linotype" w:hAnsi="Palatino Linotype"/>
          <w:lang w:val="en-US"/>
        </w:rPr>
        <w:t>.</w:t>
      </w:r>
    </w:p>
    <w:p w14:paraId="1FF09BBF" w14:textId="0B6847C3" w:rsidR="00957D71" w:rsidRPr="00DA73DB" w:rsidRDefault="00957D71" w:rsidP="00A647CE">
      <w:pPr>
        <w:spacing w:after="0" w:line="240" w:lineRule="auto"/>
        <w:ind w:left="284" w:hanging="284"/>
        <w:jc w:val="both"/>
        <w:rPr>
          <w:rFonts w:ascii="Palatino Linotype" w:hAnsi="Palatino Linotype"/>
        </w:rPr>
      </w:pPr>
      <w:r w:rsidRPr="00DA73DB">
        <w:rPr>
          <w:rFonts w:ascii="Palatino Linotype" w:hAnsi="Palatino Linotype"/>
          <w:lang w:val="en-US"/>
        </w:rPr>
        <w:t>Peraturan Otoritas Jasa Keuangan Nomor 11/POJK.04/2018 Tahun 2018</w:t>
      </w:r>
      <w:r w:rsidR="006F4CC2" w:rsidRPr="00DA73DB">
        <w:rPr>
          <w:rFonts w:ascii="Palatino Linotype" w:hAnsi="Palatino Linotype"/>
          <w:lang w:val="en-US"/>
        </w:rPr>
        <w:t xml:space="preserve"> tentang Penawaran Umum Efek Bersifat Utang Dan/Atau Sukuk Kepala Pemodal Profesional</w:t>
      </w:r>
      <w:r w:rsidR="003050E1" w:rsidRPr="00DA73DB">
        <w:rPr>
          <w:rFonts w:ascii="Palatino Linotype" w:hAnsi="Palatino Linotype"/>
          <w:lang w:val="en-US"/>
        </w:rPr>
        <w:t>.</w:t>
      </w:r>
    </w:p>
    <w:p w14:paraId="0D40F81B" w14:textId="1E0AE010" w:rsidR="007F4519" w:rsidRPr="00DA73DB" w:rsidRDefault="007F4519" w:rsidP="00A647CE">
      <w:pPr>
        <w:spacing w:after="0" w:line="240" w:lineRule="auto"/>
        <w:ind w:left="284" w:hanging="284"/>
        <w:jc w:val="both"/>
        <w:rPr>
          <w:rFonts w:ascii="Palatino Linotype" w:hAnsi="Palatino Linotype"/>
        </w:rPr>
      </w:pPr>
      <w:r w:rsidRPr="00DA73DB">
        <w:rPr>
          <w:rFonts w:ascii="Palatino Linotype" w:hAnsi="Palatino Linotype"/>
        </w:rPr>
        <w:t>Peraturan Otoritas Jasa Keuangan</w:t>
      </w:r>
      <w:r w:rsidR="003F1D60" w:rsidRPr="00DA73DB">
        <w:rPr>
          <w:rFonts w:ascii="Palatino Linotype" w:hAnsi="Palatino Linotype"/>
        </w:rPr>
        <w:t xml:space="preserve"> Nomor 38/POJK.04/2018 tentang Perizinan Perusahaan Pemeringkat Efek</w:t>
      </w:r>
      <w:r w:rsidR="003050E1" w:rsidRPr="00DA73DB">
        <w:rPr>
          <w:rFonts w:ascii="Palatino Linotype" w:hAnsi="Palatino Linotype"/>
        </w:rPr>
        <w:t>.</w:t>
      </w:r>
    </w:p>
    <w:p w14:paraId="5F973421" w14:textId="6F0AF153" w:rsidR="00BC66D6" w:rsidRPr="00DA73DB" w:rsidRDefault="00BC66D6"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P</w:t>
      </w:r>
      <w:r w:rsidR="00AA44A7" w:rsidRPr="00DA73DB">
        <w:rPr>
          <w:rFonts w:ascii="Palatino Linotype" w:hAnsi="Palatino Linotype"/>
          <w:lang w:val="en-US"/>
        </w:rPr>
        <w:t>eraturan Otoritas Jasa Keuangan Nomor 30/POJK.04/2019 Tahun 2019 tentang Penerbitan Efek Bersifat Utang dan/atau Sukuk yang Dilakukan Tanpa Melalui Penawaran Umum</w:t>
      </w:r>
      <w:r w:rsidR="003050E1" w:rsidRPr="00DA73DB">
        <w:rPr>
          <w:rFonts w:ascii="Palatino Linotype" w:hAnsi="Palatino Linotype"/>
          <w:lang w:val="en-US"/>
        </w:rPr>
        <w:t>.</w:t>
      </w:r>
    </w:p>
    <w:p w14:paraId="443BCAB6" w14:textId="482C8F77" w:rsidR="00592751" w:rsidRPr="00DA73DB" w:rsidRDefault="00592751" w:rsidP="00A647CE">
      <w:pPr>
        <w:spacing w:after="0" w:line="240" w:lineRule="auto"/>
        <w:ind w:left="284" w:hanging="284"/>
        <w:jc w:val="both"/>
        <w:rPr>
          <w:rFonts w:ascii="Palatino Linotype" w:hAnsi="Palatino Linotype" w:cstheme="minorHAnsi"/>
          <w:lang w:val="en-US"/>
        </w:rPr>
      </w:pPr>
      <w:r w:rsidRPr="00DA73DB">
        <w:rPr>
          <w:rFonts w:ascii="Palatino Linotype" w:hAnsi="Palatino Linotype"/>
        </w:rPr>
        <w:t>Peraturan Otoritas Jasa Keuangan Nomor 18 Tahun 2023 tentang Penerbitan dan Persyaratan Efek Bersifat Utang Dan Sukuk Berlandaskan Keberlanjutan</w:t>
      </w:r>
      <w:r w:rsidR="003050E1" w:rsidRPr="00DA73DB">
        <w:rPr>
          <w:rFonts w:ascii="Palatino Linotype" w:hAnsi="Palatino Linotype"/>
        </w:rPr>
        <w:t>.</w:t>
      </w:r>
    </w:p>
    <w:p w14:paraId="38A8F4F0" w14:textId="47286268" w:rsidR="00686380" w:rsidRPr="00DA73DB" w:rsidRDefault="00686380" w:rsidP="00A647CE">
      <w:pPr>
        <w:spacing w:after="0" w:line="240" w:lineRule="auto"/>
        <w:ind w:left="284" w:hanging="284"/>
        <w:jc w:val="both"/>
        <w:rPr>
          <w:rFonts w:ascii="Palatino Linotype" w:hAnsi="Palatino Linotype" w:cstheme="minorHAnsi"/>
          <w:lang w:val="en-US"/>
        </w:rPr>
      </w:pPr>
      <w:r w:rsidRPr="00DA73DB">
        <w:rPr>
          <w:rFonts w:ascii="Palatino Linotype" w:hAnsi="Palatino Linotype" w:cstheme="minorHAnsi"/>
          <w:lang w:val="en-US"/>
        </w:rPr>
        <w:t>Fatwa DSN-MUI Nomor 137/DSN-MUI/IX/2020</w:t>
      </w:r>
      <w:r w:rsidR="003E43A3" w:rsidRPr="00DA73DB">
        <w:rPr>
          <w:rFonts w:ascii="Palatino Linotype" w:hAnsi="Palatino Linotype" w:cstheme="minorHAnsi"/>
          <w:lang w:val="en-US"/>
        </w:rPr>
        <w:t xml:space="preserve"> tentang Sukuk</w:t>
      </w:r>
      <w:r w:rsidR="003050E1" w:rsidRPr="00DA73DB">
        <w:rPr>
          <w:rFonts w:ascii="Palatino Linotype" w:hAnsi="Palatino Linotype" w:cstheme="minorHAnsi"/>
          <w:lang w:val="en-US"/>
        </w:rPr>
        <w:t>.</w:t>
      </w:r>
    </w:p>
    <w:p w14:paraId="7A130C77" w14:textId="02B93B90" w:rsidR="004435C9" w:rsidRPr="00DA73DB" w:rsidRDefault="004435C9" w:rsidP="00A647CE">
      <w:pPr>
        <w:spacing w:after="0" w:line="240" w:lineRule="auto"/>
        <w:ind w:left="284" w:hanging="284"/>
        <w:jc w:val="both"/>
        <w:rPr>
          <w:rFonts w:ascii="Palatino Linotype" w:hAnsi="Palatino Linotype"/>
          <w:lang w:val="en-US"/>
        </w:rPr>
      </w:pPr>
      <w:r w:rsidRPr="00DA73DB">
        <w:rPr>
          <w:rFonts w:ascii="Palatino Linotype" w:hAnsi="Palatino Linotype" w:cstheme="minorHAnsi"/>
          <w:lang w:val="en-US"/>
        </w:rPr>
        <w:t>Fatwa DSN-MUI Nomor 40/DSN-MUI/X/2003 tentang Pasar Modal dan Pedoman Umum Penetapan Prinsip Syariah di Bidang Pasar Modal</w:t>
      </w:r>
      <w:r w:rsidR="003E43A3" w:rsidRPr="00DA73DB">
        <w:rPr>
          <w:rFonts w:ascii="Palatino Linotype" w:hAnsi="Palatino Linotype" w:cstheme="minorHAnsi"/>
          <w:lang w:val="en-US"/>
        </w:rPr>
        <w:t>.</w:t>
      </w:r>
    </w:p>
    <w:p w14:paraId="73710E9E" w14:textId="77777777" w:rsidR="00686380" w:rsidRPr="00DA73DB" w:rsidRDefault="00686380" w:rsidP="00A647CE">
      <w:pPr>
        <w:spacing w:after="0" w:line="240" w:lineRule="auto"/>
        <w:ind w:left="284" w:hanging="284"/>
        <w:jc w:val="both"/>
        <w:rPr>
          <w:rFonts w:ascii="Palatino Linotype" w:hAnsi="Palatino Linotype"/>
          <w:b/>
          <w:lang w:val="en-US"/>
        </w:rPr>
      </w:pPr>
    </w:p>
    <w:p w14:paraId="5378D5E2" w14:textId="2A6E1406" w:rsidR="00B611E6" w:rsidRPr="00DA73DB" w:rsidRDefault="00686380" w:rsidP="00A647CE">
      <w:pPr>
        <w:spacing w:after="0" w:line="240" w:lineRule="auto"/>
        <w:ind w:left="284" w:hanging="284"/>
        <w:jc w:val="both"/>
        <w:rPr>
          <w:rFonts w:ascii="Palatino Linotype" w:hAnsi="Palatino Linotype"/>
          <w:b/>
          <w:lang w:val="en-US"/>
        </w:rPr>
      </w:pPr>
      <w:r w:rsidRPr="00DA73DB">
        <w:rPr>
          <w:rFonts w:ascii="Palatino Linotype" w:hAnsi="Palatino Linotype"/>
          <w:b/>
          <w:lang w:val="en-US"/>
        </w:rPr>
        <w:t>Situs</w:t>
      </w:r>
    </w:p>
    <w:p w14:paraId="369CECC5" w14:textId="7966B16A" w:rsidR="00686380" w:rsidRPr="00DA73DB" w:rsidRDefault="00686380" w:rsidP="00A647CE">
      <w:pPr>
        <w:spacing w:after="0" w:line="240" w:lineRule="auto"/>
        <w:ind w:left="284" w:hanging="284"/>
        <w:jc w:val="both"/>
        <w:rPr>
          <w:rFonts w:ascii="Palatino Linotype" w:hAnsi="Palatino Linotype" w:cstheme="minorHAnsi"/>
          <w:lang w:val="en-US"/>
        </w:rPr>
      </w:pPr>
      <w:r w:rsidRPr="00DA73DB">
        <w:rPr>
          <w:rFonts w:ascii="Palatino Linotype" w:hAnsi="Palatino Linotype" w:cstheme="minorHAnsi"/>
          <w:lang w:val="en-US"/>
        </w:rPr>
        <w:t>Ady Cahyadi, “Accounting and Auditing Organization for Islamic Financial Institutions (AAOIFI)</w:t>
      </w:r>
      <w:r w:rsidR="00023DD7" w:rsidRPr="00DA73DB">
        <w:rPr>
          <w:rFonts w:ascii="Palatino Linotype" w:hAnsi="Palatino Linotype" w:cstheme="minorHAnsi"/>
          <w:lang w:val="en-US"/>
        </w:rPr>
        <w:t>”</w:t>
      </w:r>
      <w:r w:rsidRPr="00DA73DB">
        <w:rPr>
          <w:rFonts w:ascii="Palatino Linotype" w:hAnsi="Palatino Linotype" w:cstheme="minorHAnsi"/>
          <w:lang w:val="en-US"/>
        </w:rPr>
        <w:t xml:space="preserve">, Academia, tersedia pada </w:t>
      </w:r>
      <w:hyperlink r:id="rId11" w:history="1">
        <w:r w:rsidRPr="00DA73DB">
          <w:rPr>
            <w:rStyle w:val="Hyperlink"/>
            <w:rFonts w:ascii="Palatino Linotype" w:hAnsi="Palatino Linotype" w:cstheme="minorHAnsi"/>
            <w:lang w:val="en-US"/>
          </w:rPr>
          <w:t>https://www.academia.edu/31116973/Accounting_And_Auditing_Organization_For_Islamic_Financial_Institutions_AAOIFI</w:t>
        </w:r>
      </w:hyperlink>
      <w:r w:rsidRPr="00DA73DB">
        <w:rPr>
          <w:rFonts w:ascii="Palatino Linotype" w:hAnsi="Palatino Linotype" w:cstheme="minorHAnsi"/>
          <w:lang w:val="en-US"/>
        </w:rPr>
        <w:t>, diakses pada 7 Oktober 2024</w:t>
      </w:r>
      <w:r w:rsidR="003050E1" w:rsidRPr="00DA73DB">
        <w:rPr>
          <w:rFonts w:ascii="Palatino Linotype" w:hAnsi="Palatino Linotype" w:cstheme="minorHAnsi"/>
          <w:lang w:val="en-US"/>
        </w:rPr>
        <w:t>.</w:t>
      </w:r>
    </w:p>
    <w:p w14:paraId="7CF4D630" w14:textId="6E49B8D4" w:rsidR="008D5E43" w:rsidRPr="00DA73DB" w:rsidRDefault="008D5E43"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 xml:space="preserve">ICMA, </w:t>
      </w:r>
      <w:r w:rsidR="00023DD7" w:rsidRPr="00DA73DB">
        <w:rPr>
          <w:rFonts w:ascii="Palatino Linotype" w:hAnsi="Palatino Linotype"/>
          <w:lang w:val="en-US"/>
        </w:rPr>
        <w:t>“</w:t>
      </w:r>
      <w:r w:rsidRPr="00DA73DB">
        <w:rPr>
          <w:rFonts w:ascii="Palatino Linotype" w:hAnsi="Palatino Linotype"/>
          <w:i/>
          <w:lang w:val="en-US"/>
        </w:rPr>
        <w:t>The Green Bond Principles 2017</w:t>
      </w:r>
      <w:r w:rsidR="00023DD7" w:rsidRPr="00DA73DB">
        <w:rPr>
          <w:rFonts w:ascii="Palatino Linotype" w:hAnsi="Palatino Linotype"/>
          <w:lang w:val="en-US"/>
        </w:rPr>
        <w:t>”</w:t>
      </w:r>
      <w:r w:rsidRPr="00DA73DB">
        <w:rPr>
          <w:rFonts w:ascii="Palatino Linotype" w:hAnsi="Palatino Linotype"/>
          <w:lang w:val="en-US"/>
        </w:rPr>
        <w:t xml:space="preserve">, </w:t>
      </w:r>
      <w:hyperlink r:id="rId12" w:history="1">
        <w:r w:rsidRPr="00DA73DB">
          <w:rPr>
            <w:rStyle w:val="Hyperlink"/>
            <w:rFonts w:ascii="Palatino Linotype" w:hAnsi="Palatino Linotype"/>
            <w:lang w:val="en-US"/>
          </w:rPr>
          <w:t>https://www.icmagroup.org/assets/documents/Regulatory/Green-Bonds/GreenBondsBrochure-JUNE2017.pdf</w:t>
        </w:r>
      </w:hyperlink>
      <w:r w:rsidRPr="00DA73DB">
        <w:rPr>
          <w:rFonts w:ascii="Palatino Linotype" w:hAnsi="Palatino Linotype"/>
          <w:lang w:val="en-US"/>
        </w:rPr>
        <w:t>, diakses pada 8 Oktober 2024</w:t>
      </w:r>
      <w:r w:rsidR="003050E1" w:rsidRPr="00DA73DB">
        <w:rPr>
          <w:rFonts w:ascii="Palatino Linotype" w:hAnsi="Palatino Linotype"/>
          <w:lang w:val="en-US"/>
        </w:rPr>
        <w:t>.</w:t>
      </w:r>
    </w:p>
    <w:p w14:paraId="72194A22" w14:textId="172EAF00" w:rsidR="008D5E43" w:rsidRPr="00DA73DB" w:rsidRDefault="00023DD7" w:rsidP="00A647CE">
      <w:pPr>
        <w:spacing w:after="0" w:line="240" w:lineRule="auto"/>
        <w:ind w:left="284" w:hanging="284"/>
        <w:jc w:val="both"/>
        <w:rPr>
          <w:rFonts w:ascii="Palatino Linotype" w:hAnsi="Palatino Linotype"/>
          <w:lang w:val="en-US"/>
        </w:rPr>
      </w:pPr>
      <w:r w:rsidRPr="00DA73DB">
        <w:rPr>
          <w:rFonts w:ascii="Palatino Linotype" w:hAnsi="Palatino Linotype"/>
          <w:lang w:val="en-US"/>
        </w:rPr>
        <w:t>Pemerintah Indonesia, “Government Securities Framework”,  https://www.djppr.kemenkeu.go.id/governmentsecuritiesframework, diakses pada 8 Oktober 2024</w:t>
      </w:r>
      <w:r w:rsidR="003E43A3" w:rsidRPr="00DA73DB">
        <w:rPr>
          <w:rFonts w:ascii="Palatino Linotype" w:hAnsi="Palatino Linotype"/>
          <w:lang w:val="en-US"/>
        </w:rPr>
        <w:t>.</w:t>
      </w:r>
    </w:p>
    <w:sectPr w:rsidR="008D5E43" w:rsidRPr="00DA73DB" w:rsidSect="00E603A6">
      <w:headerReference w:type="default" r:id="rId13"/>
      <w:pgSz w:w="11906" w:h="16838"/>
      <w:pgMar w:top="1276"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3F8D" w14:textId="77777777" w:rsidR="00D878BC" w:rsidRDefault="00D878BC" w:rsidP="00EE28F6">
      <w:pPr>
        <w:spacing w:after="0" w:line="240" w:lineRule="auto"/>
      </w:pPr>
      <w:r>
        <w:separator/>
      </w:r>
    </w:p>
  </w:endnote>
  <w:endnote w:type="continuationSeparator" w:id="0">
    <w:p w14:paraId="00EAA89C" w14:textId="77777777" w:rsidR="00D878BC" w:rsidRDefault="00D878BC" w:rsidP="00EE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AA76" w14:textId="77777777" w:rsidR="00D878BC" w:rsidRDefault="00D878BC" w:rsidP="00EE28F6">
      <w:pPr>
        <w:spacing w:after="0" w:line="240" w:lineRule="auto"/>
      </w:pPr>
      <w:r>
        <w:separator/>
      </w:r>
    </w:p>
  </w:footnote>
  <w:footnote w:type="continuationSeparator" w:id="0">
    <w:p w14:paraId="180A10A4" w14:textId="77777777" w:rsidR="00D878BC" w:rsidRDefault="00D878BC" w:rsidP="00EE28F6">
      <w:pPr>
        <w:spacing w:after="0" w:line="240" w:lineRule="auto"/>
      </w:pPr>
      <w:r>
        <w:continuationSeparator/>
      </w:r>
    </w:p>
  </w:footnote>
  <w:footnote w:id="1">
    <w:p w14:paraId="2628289E" w14:textId="2459D9CA" w:rsidR="006F63AA" w:rsidRPr="00E247AD" w:rsidRDefault="006F63AA">
      <w:pPr>
        <w:pStyle w:val="FootnoteText"/>
        <w:rPr>
          <w:lang w:val="en-US"/>
        </w:rPr>
      </w:pPr>
      <w:r>
        <w:rPr>
          <w:rStyle w:val="FootnoteReference"/>
        </w:rPr>
        <w:footnoteRef/>
      </w:r>
      <w:r>
        <w:t xml:space="preserve"> </w:t>
      </w:r>
      <w:r>
        <w:rPr>
          <w:lang w:val="en-US"/>
        </w:rPr>
        <w:t>Beik, “Memperkuat Peran Sukuk Negara dalam Pembangunan Ekonomi</w:t>
      </w:r>
      <w:r w:rsidR="00E247AD">
        <w:rPr>
          <w:lang w:val="en-US"/>
        </w:rPr>
        <w:t xml:space="preserve"> Indonesia”, </w:t>
      </w:r>
      <w:r w:rsidR="00E247AD">
        <w:rPr>
          <w:i/>
          <w:iCs/>
          <w:lang w:val="en-US"/>
        </w:rPr>
        <w:t>Jurnal Ekonomi Islam Al-Infaq</w:t>
      </w:r>
      <w:r w:rsidR="00E247AD">
        <w:rPr>
          <w:lang w:val="en-US"/>
        </w:rPr>
        <w:t>, Volume 2 Nomor 2</w:t>
      </w:r>
      <w:r w:rsidR="00334FCD">
        <w:rPr>
          <w:lang w:val="en-US"/>
        </w:rPr>
        <w:t>, hlm. 6</w:t>
      </w:r>
      <w:r w:rsidR="00292465">
        <w:rPr>
          <w:lang w:val="en-US"/>
        </w:rPr>
        <w:t>6.</w:t>
      </w:r>
    </w:p>
  </w:footnote>
  <w:footnote w:id="2">
    <w:p w14:paraId="46DC0E7D" w14:textId="0CA70075" w:rsidR="00D51F25" w:rsidRPr="00D51F25" w:rsidRDefault="00D51F25">
      <w:pPr>
        <w:pStyle w:val="FootnoteText"/>
        <w:rPr>
          <w:lang w:val="en-US"/>
        </w:rPr>
      </w:pPr>
      <w:r>
        <w:rPr>
          <w:rStyle w:val="FootnoteReference"/>
        </w:rPr>
        <w:footnoteRef/>
      </w:r>
      <w:r>
        <w:t xml:space="preserve"> </w:t>
      </w:r>
      <w:r w:rsidRPr="00D51F25">
        <w:t>Maula Robin H, Diah Putri, dan Kharis Fahullah. “Peran Sukuk Terhadap Pembangunan Infrastruktur”, Jurnal Al-Mutharahah, Volume 17 Nomor 1, 2020, hlm. 98.</w:t>
      </w:r>
    </w:p>
  </w:footnote>
  <w:footnote w:id="3">
    <w:p w14:paraId="1B0CAF63" w14:textId="5FCB3BD1" w:rsidR="002A4A7D" w:rsidRPr="00A425F2" w:rsidRDefault="002A4A7D">
      <w:pPr>
        <w:pStyle w:val="FootnoteText"/>
        <w:rPr>
          <w:rFonts w:cstheme="minorHAnsi"/>
          <w:lang w:val="en-US"/>
        </w:rPr>
      </w:pPr>
      <w:r w:rsidRPr="00A425F2">
        <w:rPr>
          <w:rStyle w:val="FootnoteReference"/>
          <w:rFonts w:cstheme="minorHAnsi"/>
        </w:rPr>
        <w:footnoteRef/>
      </w:r>
      <w:r w:rsidRPr="00A425F2">
        <w:rPr>
          <w:rFonts w:cstheme="minorHAnsi"/>
        </w:rPr>
        <w:t xml:space="preserve"> </w:t>
      </w:r>
      <w:r w:rsidRPr="00A425F2">
        <w:rPr>
          <w:rFonts w:cstheme="minorHAnsi"/>
          <w:lang w:val="en-US"/>
        </w:rPr>
        <w:t xml:space="preserve">Ady Cahyadi, “Accounting and Auditing Organization for Islamic Financial Institutions (AAOIFI), Academia, tersedia pada </w:t>
      </w:r>
      <w:hyperlink r:id="rId1" w:history="1">
        <w:r w:rsidR="00BD37DA" w:rsidRPr="00A425F2">
          <w:rPr>
            <w:rStyle w:val="Hyperlink"/>
            <w:rFonts w:cstheme="minorHAnsi"/>
            <w:lang w:val="en-US"/>
          </w:rPr>
          <w:t>https://www.academia.edu/31116973/Accounting_And_Auditing_Organization_For_Islamic_Financial_Institutions_AAOIFI</w:t>
        </w:r>
      </w:hyperlink>
      <w:r w:rsidR="00BD37DA" w:rsidRPr="00A425F2">
        <w:rPr>
          <w:rFonts w:cstheme="minorHAnsi"/>
          <w:lang w:val="en-US"/>
        </w:rPr>
        <w:t>, diakses pada 7 Oktober 2024.</w:t>
      </w:r>
    </w:p>
  </w:footnote>
  <w:footnote w:id="4">
    <w:p w14:paraId="44C9C60B" w14:textId="71E08F12" w:rsidR="00EE28F6" w:rsidRPr="00A425F2" w:rsidRDefault="00EE28F6">
      <w:pPr>
        <w:pStyle w:val="FootnoteText"/>
        <w:rPr>
          <w:rFonts w:cstheme="minorHAnsi"/>
          <w:lang w:val="en-US"/>
        </w:rPr>
      </w:pPr>
      <w:r w:rsidRPr="00A425F2">
        <w:rPr>
          <w:rStyle w:val="FootnoteReference"/>
          <w:rFonts w:cstheme="minorHAnsi"/>
        </w:rPr>
        <w:footnoteRef/>
      </w:r>
      <w:r w:rsidRPr="00A425F2">
        <w:rPr>
          <w:rFonts w:cstheme="minorHAnsi"/>
        </w:rPr>
        <w:t xml:space="preserve"> </w:t>
      </w:r>
      <w:r w:rsidRPr="00804E3E">
        <w:rPr>
          <w:rFonts w:cstheme="minorHAnsi"/>
          <w:lang w:val="en-US"/>
        </w:rPr>
        <w:t xml:space="preserve">Mohamed Ariff, </w:t>
      </w:r>
      <w:r w:rsidRPr="00686380">
        <w:rPr>
          <w:rFonts w:cstheme="minorHAnsi"/>
          <w:i/>
          <w:iCs/>
          <w:lang w:val="en-US"/>
        </w:rPr>
        <w:t>Sukuk Securities: New Ways of Debt Contracting</w:t>
      </w:r>
      <w:r w:rsidRPr="00804E3E">
        <w:rPr>
          <w:rFonts w:cstheme="minorHAnsi"/>
          <w:lang w:val="en-US"/>
        </w:rPr>
        <w:t>, Singapura: John Wiley &amp; Sons, 2014, hlm. 21.</w:t>
      </w:r>
    </w:p>
  </w:footnote>
  <w:footnote w:id="5">
    <w:p w14:paraId="66FC7A0C" w14:textId="544EFA7D" w:rsidR="00ED500D" w:rsidRPr="00A425F2" w:rsidRDefault="00ED500D">
      <w:pPr>
        <w:pStyle w:val="FootnoteText"/>
        <w:rPr>
          <w:rFonts w:cstheme="minorHAnsi"/>
          <w:lang w:val="en-US"/>
        </w:rPr>
      </w:pPr>
      <w:r w:rsidRPr="00A425F2">
        <w:rPr>
          <w:rStyle w:val="FootnoteReference"/>
          <w:rFonts w:cstheme="minorHAnsi"/>
        </w:rPr>
        <w:footnoteRef/>
      </w:r>
      <w:r w:rsidRPr="00A425F2">
        <w:rPr>
          <w:rFonts w:cstheme="minorHAnsi"/>
        </w:rPr>
        <w:t xml:space="preserve"> </w:t>
      </w:r>
      <w:r w:rsidRPr="00A425F2">
        <w:rPr>
          <w:rFonts w:cstheme="minorHAnsi"/>
          <w:lang w:val="en-US"/>
        </w:rPr>
        <w:t xml:space="preserve">Fatwa </w:t>
      </w:r>
      <w:r w:rsidR="00A92862" w:rsidRPr="00A425F2">
        <w:rPr>
          <w:rFonts w:cstheme="minorHAnsi"/>
          <w:lang w:val="en-US"/>
        </w:rPr>
        <w:t>DSN-MUI Nomor 137/DSN-MUI/IX/2020.</w:t>
      </w:r>
    </w:p>
  </w:footnote>
  <w:footnote w:id="6">
    <w:p w14:paraId="19427613" w14:textId="7F7C8B7B" w:rsidR="008C2DAB" w:rsidRPr="00D34026" w:rsidRDefault="008C2DAB">
      <w:pPr>
        <w:pStyle w:val="FootnoteText"/>
        <w:rPr>
          <w:lang w:val="en-US"/>
        </w:rPr>
      </w:pPr>
      <w:r>
        <w:rPr>
          <w:rStyle w:val="FootnoteReference"/>
        </w:rPr>
        <w:footnoteRef/>
      </w:r>
      <w:r>
        <w:t xml:space="preserve"> </w:t>
      </w:r>
      <w:r>
        <w:rPr>
          <w:lang w:val="en-US"/>
        </w:rPr>
        <w:t>Dede Abdul Fatah</w:t>
      </w:r>
      <w:r w:rsidR="003062F4">
        <w:rPr>
          <w:lang w:val="en-US"/>
        </w:rPr>
        <w:t xml:space="preserve">,”Perkembangan Obligasi Syariah (Sukuk) di Indonesia: Analisis Peluang dan Tantangan”, </w:t>
      </w:r>
      <w:r w:rsidR="003062F4">
        <w:rPr>
          <w:i/>
          <w:iCs/>
          <w:lang w:val="en-US"/>
        </w:rPr>
        <w:t>Jurnal Al’-</w:t>
      </w:r>
      <w:r w:rsidR="00D34026">
        <w:rPr>
          <w:i/>
          <w:iCs/>
          <w:lang w:val="en-US"/>
        </w:rPr>
        <w:t>Adalah</w:t>
      </w:r>
      <w:r w:rsidR="00D34026">
        <w:rPr>
          <w:lang w:val="en-US"/>
        </w:rPr>
        <w:t>, Volume 10 Nomor 1, 2011, hlm 55.</w:t>
      </w:r>
    </w:p>
  </w:footnote>
  <w:footnote w:id="7">
    <w:p w14:paraId="42ADA404" w14:textId="45D65234" w:rsidR="00F87665" w:rsidRPr="00A425F2" w:rsidRDefault="00F87665">
      <w:pPr>
        <w:pStyle w:val="FootnoteText"/>
        <w:rPr>
          <w:rFonts w:cstheme="minorHAnsi"/>
          <w:lang w:val="en-US"/>
        </w:rPr>
      </w:pPr>
      <w:r w:rsidRPr="00A425F2">
        <w:rPr>
          <w:rStyle w:val="FootnoteReference"/>
          <w:rFonts w:cstheme="minorHAnsi"/>
        </w:rPr>
        <w:footnoteRef/>
      </w:r>
      <w:r w:rsidRPr="00A425F2">
        <w:rPr>
          <w:rFonts w:cstheme="minorHAnsi"/>
        </w:rPr>
        <w:t xml:space="preserve"> </w:t>
      </w:r>
      <w:r w:rsidRPr="00A425F2">
        <w:rPr>
          <w:rFonts w:cstheme="minorHAnsi"/>
          <w:lang w:val="en-US"/>
        </w:rPr>
        <w:t xml:space="preserve">Penjelasan Pasal 7 huruf c Peraturan Otoritas Jasa Keuangan </w:t>
      </w:r>
      <w:r w:rsidR="00670AF8" w:rsidRPr="00A425F2">
        <w:rPr>
          <w:rFonts w:cstheme="minorHAnsi"/>
          <w:lang w:val="en-US"/>
        </w:rPr>
        <w:t>Nomor 18/POJK.04/2015</w:t>
      </w:r>
      <w:r w:rsidR="00CC3508" w:rsidRPr="00A425F2">
        <w:rPr>
          <w:rFonts w:cstheme="minorHAnsi"/>
          <w:lang w:val="en-US"/>
        </w:rPr>
        <w:t xml:space="preserve"> sebagaimana diubah oleh Peraturan Otoritas Jasa Keuangan Republik Indonesia Nomor 3/POJK.04/2018</w:t>
      </w:r>
      <w:r w:rsidR="00C60A0A" w:rsidRPr="00A425F2">
        <w:rPr>
          <w:rFonts w:cstheme="minorHAnsi"/>
          <w:lang w:val="en-US"/>
        </w:rPr>
        <w:t>.</w:t>
      </w:r>
    </w:p>
  </w:footnote>
  <w:footnote w:id="8">
    <w:p w14:paraId="07862D5F" w14:textId="20761B1B" w:rsidR="00456E5B" w:rsidRPr="00456E5B" w:rsidRDefault="00456E5B">
      <w:pPr>
        <w:pStyle w:val="FootnoteText"/>
        <w:rPr>
          <w:lang w:val="en-US"/>
        </w:rPr>
      </w:pPr>
      <w:r>
        <w:rPr>
          <w:rStyle w:val="FootnoteReference"/>
        </w:rPr>
        <w:footnoteRef/>
      </w:r>
      <w:r w:rsidRPr="000C7BB3">
        <w:rPr>
          <w:lang w:val="nl-NL"/>
        </w:rPr>
        <w:t xml:space="preserve"> Davood Manzoor, Majid, dan Ali. </w:t>
      </w:r>
      <w:r w:rsidRPr="00456E5B">
        <w:t xml:space="preserve">“Financing infrastructure projects based on risk sharing model: Istisna sukuk”, </w:t>
      </w:r>
      <w:r w:rsidRPr="007F4519">
        <w:rPr>
          <w:i/>
          <w:iCs/>
        </w:rPr>
        <w:t>Journal of Emerging Economies and Islamic Research</w:t>
      </w:r>
      <w:r w:rsidRPr="00456E5B">
        <w:t>, Volume 5 Nomor 3, 2017.</w:t>
      </w:r>
      <w:r>
        <w:t xml:space="preserve"> hlm. 74.</w:t>
      </w:r>
    </w:p>
  </w:footnote>
  <w:footnote w:id="9">
    <w:p w14:paraId="5458FD7F" w14:textId="336E85A6" w:rsidR="007D3151" w:rsidRPr="007D3151" w:rsidRDefault="007D3151">
      <w:pPr>
        <w:pStyle w:val="FootnoteText"/>
        <w:rPr>
          <w:lang w:val="en-US"/>
        </w:rPr>
      </w:pPr>
      <w:r>
        <w:rPr>
          <w:rStyle w:val="FootnoteReference"/>
        </w:rPr>
        <w:footnoteRef/>
      </w:r>
      <w:r>
        <w:t xml:space="preserve"> </w:t>
      </w:r>
      <w:r w:rsidRPr="007D3151">
        <w:t xml:space="preserve">Novia Khairunnisa, Hafas Furqani, dan Dara Amanatillah. “Sukuk dan Pembangunan Infrastruktur di Indonesia (Analisis Peran dan Manfaat Sukuk Untuk Pembangunan Indonesia)”, </w:t>
      </w:r>
      <w:r w:rsidRPr="007F4519">
        <w:rPr>
          <w:i/>
          <w:iCs/>
        </w:rPr>
        <w:t>Jurnal Ekobis</w:t>
      </w:r>
      <w:r w:rsidRPr="007D3151">
        <w:t>, Volume 1 Nomor 2, 2017</w:t>
      </w:r>
      <w:r>
        <w:t>. hlm. 16.</w:t>
      </w:r>
    </w:p>
  </w:footnote>
  <w:footnote w:id="10">
    <w:p w14:paraId="5FF4EC40" w14:textId="77777777" w:rsidR="00EB49AB" w:rsidRPr="006F2CC6" w:rsidRDefault="00EB49AB" w:rsidP="00EB49AB">
      <w:pPr>
        <w:pStyle w:val="FootnoteText"/>
        <w:jc w:val="both"/>
        <w:rPr>
          <w:lang w:val="en-US"/>
        </w:rPr>
      </w:pPr>
      <w:r>
        <w:rPr>
          <w:rStyle w:val="FootnoteReference"/>
        </w:rPr>
        <w:footnoteRef/>
      </w:r>
      <w:r>
        <w:t xml:space="preserve"> Pasal 1 Peraturan Otoritas Jasa Keuangan Nomor 38 Tahun 2018.</w:t>
      </w:r>
    </w:p>
  </w:footnote>
  <w:footnote w:id="11">
    <w:p w14:paraId="11B2F8F4" w14:textId="77777777" w:rsidR="007F4B4B" w:rsidRPr="009571CD" w:rsidRDefault="007F4B4B" w:rsidP="000F4C40">
      <w:pPr>
        <w:pStyle w:val="FootnoteText"/>
        <w:jc w:val="both"/>
        <w:rPr>
          <w:lang w:val="en-US"/>
        </w:rPr>
      </w:pPr>
      <w:r>
        <w:rPr>
          <w:rStyle w:val="FootnoteReference"/>
        </w:rPr>
        <w:footnoteRef/>
      </w:r>
      <w:r>
        <w:t xml:space="preserve"> </w:t>
      </w:r>
      <w:r>
        <w:rPr>
          <w:lang w:val="en-US"/>
        </w:rPr>
        <w:t xml:space="preserve">Thuba Jazil dan Tita Nursyamsiah, “Sukuk dan Aspek Kepatuhan Syariah”, </w:t>
      </w:r>
      <w:r>
        <w:rPr>
          <w:i/>
          <w:iCs/>
          <w:lang w:val="en-US"/>
        </w:rPr>
        <w:t>Jurnal Ekonomi Islam Republika</w:t>
      </w:r>
      <w:r>
        <w:rPr>
          <w:lang w:val="en-US"/>
        </w:rPr>
        <w:t>, 2016. hlm. 19.</w:t>
      </w:r>
    </w:p>
  </w:footnote>
  <w:footnote w:id="12">
    <w:p w14:paraId="6EC4E5FB" w14:textId="77777777" w:rsidR="00562EBD" w:rsidRPr="002A7CD1" w:rsidRDefault="00562EBD" w:rsidP="00562EBD">
      <w:pPr>
        <w:pStyle w:val="FootnoteText"/>
        <w:rPr>
          <w:lang w:val="en-US"/>
        </w:rPr>
      </w:pPr>
      <w:r>
        <w:rPr>
          <w:rStyle w:val="FootnoteReference"/>
        </w:rPr>
        <w:footnoteRef/>
      </w:r>
      <w:r>
        <w:t xml:space="preserve"> </w:t>
      </w:r>
      <w:r>
        <w:rPr>
          <w:i/>
          <w:iCs/>
          <w:lang w:val="en-US"/>
        </w:rPr>
        <w:t>Ibid.</w:t>
      </w:r>
    </w:p>
  </w:footnote>
  <w:footnote w:id="13">
    <w:p w14:paraId="4D60E350" w14:textId="59B64887" w:rsidR="00671C71" w:rsidRPr="00242C28" w:rsidRDefault="00671C71" w:rsidP="00671C71">
      <w:pPr>
        <w:pStyle w:val="FootnoteText"/>
        <w:jc w:val="both"/>
        <w:rPr>
          <w:lang w:val="en-US"/>
        </w:rPr>
      </w:pPr>
      <w:r>
        <w:rPr>
          <w:rStyle w:val="FootnoteReference"/>
        </w:rPr>
        <w:footnoteRef/>
      </w:r>
      <w:r>
        <w:t xml:space="preserve"> </w:t>
      </w:r>
      <w:r>
        <w:rPr>
          <w:lang w:val="en-US"/>
        </w:rPr>
        <w:t>Muhammad Kamal Zubair, “Obligasi dan Sukuk Dalam Perspektif Keuangan Islam (Suatu Kajian Perbandingan)</w:t>
      </w:r>
      <w:r w:rsidR="00242C28">
        <w:rPr>
          <w:lang w:val="en-US"/>
        </w:rPr>
        <w:t xml:space="preserve">”, </w:t>
      </w:r>
      <w:r w:rsidR="00242C28" w:rsidRPr="00242C28">
        <w:rPr>
          <w:i/>
          <w:iCs/>
          <w:lang w:val="en-US"/>
        </w:rPr>
        <w:t>As</w:t>
      </w:r>
      <w:r w:rsidR="00242C28">
        <w:rPr>
          <w:i/>
          <w:iCs/>
          <w:lang w:val="en-US"/>
        </w:rPr>
        <w:t>y-Syir’ah Jurnal Ilmu Syari’ah dan Hukum</w:t>
      </w:r>
      <w:r w:rsidR="00242C28">
        <w:rPr>
          <w:lang w:val="en-US"/>
        </w:rPr>
        <w:t>, Volume 46 Nomor 1, 2012, hlm. 288.</w:t>
      </w:r>
    </w:p>
  </w:footnote>
  <w:footnote w:id="14">
    <w:p w14:paraId="144CAFE6" w14:textId="77777777" w:rsidR="00562EBD" w:rsidRPr="004A7A6E" w:rsidRDefault="00562EBD" w:rsidP="008335AA">
      <w:pPr>
        <w:pStyle w:val="FootnoteText"/>
        <w:jc w:val="both"/>
        <w:rPr>
          <w:lang w:val="en-US"/>
        </w:rPr>
      </w:pPr>
      <w:r>
        <w:rPr>
          <w:rStyle w:val="FootnoteReference"/>
        </w:rPr>
        <w:footnoteRef/>
      </w:r>
      <w:r>
        <w:t xml:space="preserve"> </w:t>
      </w:r>
      <w:r>
        <w:rPr>
          <w:lang w:val="en-US"/>
        </w:rPr>
        <w:t xml:space="preserve">Dubai International Financial Centre, </w:t>
      </w:r>
      <w:r>
        <w:rPr>
          <w:i/>
          <w:iCs/>
          <w:lang w:val="en-US"/>
        </w:rPr>
        <w:t>Dubai International Financial Centre Sukuk Guidebook</w:t>
      </w:r>
      <w:r>
        <w:rPr>
          <w:lang w:val="en-US"/>
        </w:rPr>
        <w:t>, hlm. 92.</w:t>
      </w:r>
    </w:p>
  </w:footnote>
  <w:footnote w:id="15">
    <w:p w14:paraId="2015435C" w14:textId="71945F01" w:rsidR="00293739" w:rsidRPr="00293739" w:rsidRDefault="00293739" w:rsidP="001D661A">
      <w:pPr>
        <w:pStyle w:val="FootnoteText"/>
        <w:jc w:val="both"/>
        <w:rPr>
          <w:lang w:val="en-US"/>
        </w:rPr>
      </w:pPr>
      <w:r>
        <w:rPr>
          <w:rStyle w:val="FootnoteReference"/>
        </w:rPr>
        <w:footnoteRef/>
      </w:r>
      <w:r>
        <w:t xml:space="preserve"> </w:t>
      </w:r>
      <w:r w:rsidRPr="00293739">
        <w:t>Achmad Helm</w:t>
      </w:r>
      <w:r w:rsidR="00D57DAD">
        <w:t>i</w:t>
      </w:r>
      <w:r w:rsidRPr="00293739">
        <w:t>, Sri Prabandiyani RW, dan Bambang Riyanto. “Sistem Keuangan Syariah Untuk Peningkatan Investasi Swasta Pada Pembiayaan Infrastruktur Di Indonesia”, Prosiding Simposium II, Volume 2, 2017.</w:t>
      </w:r>
      <w:r>
        <w:t xml:space="preserve"> hlm.</w:t>
      </w:r>
      <w:r w:rsidR="0001081B">
        <w:t xml:space="preserve"> </w:t>
      </w:r>
      <w:r>
        <w:t>323.</w:t>
      </w:r>
    </w:p>
  </w:footnote>
  <w:footnote w:id="16">
    <w:p w14:paraId="386466CD" w14:textId="13237975" w:rsidR="00155CF6" w:rsidRPr="00155CF6" w:rsidRDefault="00155CF6">
      <w:pPr>
        <w:pStyle w:val="FootnoteText"/>
        <w:rPr>
          <w:lang w:val="en-US"/>
        </w:rPr>
      </w:pPr>
      <w:r>
        <w:rPr>
          <w:rStyle w:val="FootnoteReference"/>
        </w:rPr>
        <w:footnoteRef/>
      </w:r>
      <w:r>
        <w:t xml:space="preserve"> </w:t>
      </w:r>
      <w:r w:rsidRPr="00155CF6">
        <w:t>Yash Majeethia dan Tushar Bose, “Islamic Financial Instruments an Opportunity for Financing Infrastructure in India”, Journal of Business Management and Social Sciences Research, Volume 3 Nomor 5, 2014, hlm. 21.</w:t>
      </w:r>
    </w:p>
  </w:footnote>
  <w:footnote w:id="17">
    <w:p w14:paraId="27A5A279" w14:textId="01A6676B" w:rsidR="00C90DEF" w:rsidRPr="0095340E" w:rsidRDefault="00C90DEF" w:rsidP="00C90DEF">
      <w:pPr>
        <w:pStyle w:val="FootnoteText"/>
        <w:jc w:val="both"/>
        <w:rPr>
          <w:lang w:val="en-US"/>
        </w:rPr>
      </w:pPr>
      <w:r>
        <w:rPr>
          <w:rStyle w:val="FootnoteReference"/>
        </w:rPr>
        <w:footnoteRef/>
      </w:r>
      <w:r>
        <w:rPr>
          <w:lang w:val="en-US"/>
        </w:rPr>
        <w:t xml:space="preserve">Direktorat Pembiayaan Syariah Kementerian Keuangan Republik Indonesia, </w:t>
      </w:r>
      <w:r>
        <w:rPr>
          <w:i/>
          <w:iCs/>
          <w:lang w:val="en-US"/>
        </w:rPr>
        <w:t>Tanya Jawab Surat Berharga Syariah Negara (Sukuk Negara</w:t>
      </w:r>
      <w:r>
        <w:rPr>
          <w:lang w:val="en-US"/>
        </w:rPr>
        <w:t>), Jakarta: Direktorat Pembiayaan Syariah, 2010, hlm. 11.</w:t>
      </w:r>
    </w:p>
  </w:footnote>
  <w:footnote w:id="18">
    <w:p w14:paraId="1B516B5F" w14:textId="6D5E2300" w:rsidR="00DC3918" w:rsidRPr="00DC3918" w:rsidRDefault="00DC3918" w:rsidP="009C1137">
      <w:pPr>
        <w:pStyle w:val="FootnoteText"/>
        <w:jc w:val="both"/>
        <w:rPr>
          <w:lang w:val="en-US"/>
        </w:rPr>
      </w:pPr>
      <w:r>
        <w:rPr>
          <w:rStyle w:val="FootnoteReference"/>
        </w:rPr>
        <w:footnoteRef/>
      </w:r>
      <w:r>
        <w:t xml:space="preserve"> </w:t>
      </w:r>
      <w:r w:rsidRPr="00DC3918">
        <w:t>Bahril</w:t>
      </w:r>
      <w:r w:rsidR="009D459B">
        <w:t xml:space="preserve"> </w:t>
      </w:r>
      <w:r w:rsidRPr="00DC3918">
        <w:t>Datuk</w:t>
      </w:r>
      <w:r w:rsidR="009D459B">
        <w:t>.</w:t>
      </w:r>
      <w:r w:rsidRPr="00DC3918">
        <w:t xml:space="preserve"> “Sukuk dimensi baru pembiayaan pemerintah untuk pertumbuhan ekonomi”, </w:t>
      </w:r>
      <w:r w:rsidRPr="009D459B">
        <w:rPr>
          <w:i/>
          <w:iCs/>
        </w:rPr>
        <w:t>Jurnal Riset Akuntansi dan Bisnis</w:t>
      </w:r>
      <w:r w:rsidRPr="00DC3918">
        <w:t>, Volume 14 Nomor 1</w:t>
      </w:r>
      <w:r w:rsidR="009D459B">
        <w:t>, 2014, hlm. 120.</w:t>
      </w:r>
    </w:p>
  </w:footnote>
  <w:footnote w:id="19">
    <w:p w14:paraId="5B4E331D" w14:textId="1015CDF0" w:rsidR="00585C53" w:rsidRPr="00585C53" w:rsidRDefault="00585C53">
      <w:pPr>
        <w:pStyle w:val="FootnoteText"/>
        <w:rPr>
          <w:lang w:val="en-US"/>
        </w:rPr>
      </w:pPr>
      <w:r>
        <w:rPr>
          <w:rStyle w:val="FootnoteReference"/>
        </w:rPr>
        <w:footnoteRef/>
      </w:r>
      <w:r>
        <w:t xml:space="preserve"> </w:t>
      </w:r>
      <w:r w:rsidR="00B86DB5" w:rsidRPr="00B86DB5">
        <w:t>Miftahul Rahmawati. “Analisis Sukuk Negara sebagai Alternatif Pembiayaan APBN”, Jurnal An-Nisbah, Volume 5 Nomor 1, 2018</w:t>
      </w:r>
      <w:r w:rsidR="00B86DB5">
        <w:t>, hlm. 344.</w:t>
      </w:r>
    </w:p>
  </w:footnote>
  <w:footnote w:id="20">
    <w:p w14:paraId="570FB8E5" w14:textId="306EF5BD" w:rsidR="00694A45" w:rsidRPr="00A425F2" w:rsidRDefault="00694A45" w:rsidP="00694A45">
      <w:pPr>
        <w:pStyle w:val="FootnoteText"/>
        <w:jc w:val="both"/>
        <w:rPr>
          <w:rFonts w:cstheme="minorHAnsi"/>
          <w:lang w:val="en-US"/>
        </w:rPr>
      </w:pPr>
      <w:r w:rsidRPr="00A425F2">
        <w:rPr>
          <w:rStyle w:val="FootnoteReference"/>
          <w:rFonts w:cstheme="minorHAnsi"/>
        </w:rPr>
        <w:footnoteRef/>
      </w:r>
      <w:r w:rsidRPr="00A425F2">
        <w:rPr>
          <w:rFonts w:cstheme="minorHAnsi"/>
        </w:rPr>
        <w:t xml:space="preserve"> Pasal 2 </w:t>
      </w:r>
      <w:r w:rsidRPr="00A425F2">
        <w:rPr>
          <w:rFonts w:cstheme="minorHAnsi"/>
          <w:lang w:val="en-US"/>
        </w:rPr>
        <w:t xml:space="preserve">Fatwa DSN-MUI </w:t>
      </w:r>
      <w:r w:rsidR="004435C9" w:rsidRPr="004435C9">
        <w:rPr>
          <w:rFonts w:cstheme="minorHAnsi"/>
          <w:lang w:val="en-US"/>
        </w:rPr>
        <w:t>Nomor 40/DSN-MUI/X/2003</w:t>
      </w:r>
      <w:r w:rsidR="004435C9">
        <w:rPr>
          <w:rFonts w:cstheme="minorHAnsi"/>
          <w:lang w:val="en-US"/>
        </w:rPr>
        <w:t>.</w:t>
      </w:r>
    </w:p>
  </w:footnote>
  <w:footnote w:id="21">
    <w:p w14:paraId="113504D5" w14:textId="178146D6" w:rsidR="00694A45" w:rsidRPr="00D54FB9" w:rsidRDefault="00694A45" w:rsidP="00694A45">
      <w:pPr>
        <w:pStyle w:val="FootnoteText"/>
        <w:jc w:val="both"/>
        <w:rPr>
          <w:lang w:val="en-US"/>
        </w:rPr>
      </w:pPr>
      <w:r>
        <w:rPr>
          <w:rStyle w:val="FootnoteReference"/>
        </w:rPr>
        <w:footnoteRef/>
      </w:r>
      <w:r>
        <w:t xml:space="preserve"> </w:t>
      </w:r>
      <w:r>
        <w:rPr>
          <w:lang w:val="en-US"/>
        </w:rPr>
        <w:t>Pasal 2 ayat (1) Peraturan Otoritas Jasa Keuangan Nomor 15 Tahun 2015</w:t>
      </w:r>
      <w:r w:rsidR="009C1137">
        <w:rPr>
          <w:lang w:val="en-US"/>
        </w:rPr>
        <w:t>.</w:t>
      </w:r>
    </w:p>
  </w:footnote>
  <w:footnote w:id="22">
    <w:p w14:paraId="3A07187A" w14:textId="77777777" w:rsidR="00694A45" w:rsidRPr="005406CC" w:rsidRDefault="00694A45" w:rsidP="00694A45">
      <w:pPr>
        <w:pStyle w:val="FootnoteText"/>
        <w:jc w:val="both"/>
        <w:rPr>
          <w:lang w:val="en-US"/>
        </w:rPr>
      </w:pPr>
      <w:r>
        <w:rPr>
          <w:rStyle w:val="FootnoteReference"/>
        </w:rPr>
        <w:footnoteRef/>
      </w:r>
      <w:r>
        <w:t xml:space="preserve"> </w:t>
      </w:r>
      <w:r>
        <w:rPr>
          <w:lang w:val="en-US"/>
        </w:rPr>
        <w:t>Pasal 2 ayat (2) Peraturan Otoritas Jasa Keuangan Nomor 15 Tahun 2015.</w:t>
      </w:r>
    </w:p>
  </w:footnote>
  <w:footnote w:id="23">
    <w:p w14:paraId="38BBBBC3" w14:textId="17388CC4" w:rsidR="00A1060B" w:rsidRPr="00D23BBD" w:rsidRDefault="00A1060B" w:rsidP="00FB6924">
      <w:pPr>
        <w:pStyle w:val="FootnoteText"/>
        <w:jc w:val="both"/>
        <w:rPr>
          <w:lang w:val="en-US"/>
        </w:rPr>
      </w:pPr>
      <w:r>
        <w:rPr>
          <w:rStyle w:val="FootnoteReference"/>
        </w:rPr>
        <w:footnoteRef/>
      </w:r>
      <w:r>
        <w:t xml:space="preserve"> </w:t>
      </w:r>
      <w:r>
        <w:rPr>
          <w:lang w:val="en-US"/>
        </w:rPr>
        <w:t>Hapil Hanapi, “</w:t>
      </w:r>
      <w:r w:rsidR="00D23BBD">
        <w:rPr>
          <w:lang w:val="en-US"/>
        </w:rPr>
        <w:t xml:space="preserve">Penerapan Sukuk dan Obligasi Syariah di Indonesia”, </w:t>
      </w:r>
      <w:r w:rsidR="00D23BBD">
        <w:rPr>
          <w:i/>
          <w:iCs/>
          <w:lang w:val="en-US"/>
        </w:rPr>
        <w:t>Jurnal Ilmu Akuntansi dan Bisnis Syariah</w:t>
      </w:r>
      <w:r w:rsidR="00D23BBD">
        <w:rPr>
          <w:lang w:val="en-US"/>
        </w:rPr>
        <w:t>, Volume 1 Nomor 2, 2019, hlm. 146.</w:t>
      </w:r>
    </w:p>
  </w:footnote>
  <w:footnote w:id="24">
    <w:p w14:paraId="4EBC7F2B" w14:textId="3C65E164" w:rsidR="007665F5" w:rsidRPr="007665F5" w:rsidRDefault="007665F5">
      <w:pPr>
        <w:pStyle w:val="FootnoteText"/>
        <w:rPr>
          <w:lang w:val="en-US"/>
        </w:rPr>
      </w:pPr>
      <w:r>
        <w:rPr>
          <w:rStyle w:val="FootnoteReference"/>
        </w:rPr>
        <w:footnoteRef/>
      </w:r>
      <w:r>
        <w:t xml:space="preserve"> </w:t>
      </w:r>
      <w:r>
        <w:rPr>
          <w:lang w:val="en-US"/>
        </w:rPr>
        <w:t xml:space="preserve">Direktorat Pembiayaan Syariah (KEMENKEU), </w:t>
      </w:r>
      <w:r>
        <w:rPr>
          <w:i/>
          <w:iCs/>
          <w:lang w:val="en-US"/>
        </w:rPr>
        <w:t>Sukuk Negara: Instrumen Keuangan Berbasis Syariah</w:t>
      </w:r>
      <w:r>
        <w:rPr>
          <w:lang w:val="en-US"/>
        </w:rPr>
        <w:t>, Jakarta: DJPPR Kemenkeu</w:t>
      </w:r>
      <w:r w:rsidR="00C376FB">
        <w:rPr>
          <w:lang w:val="en-US"/>
        </w:rPr>
        <w:t>, 2015, hlm. 24-25.</w:t>
      </w:r>
    </w:p>
  </w:footnote>
  <w:footnote w:id="25">
    <w:p w14:paraId="44AD6156" w14:textId="0338C2D4" w:rsidR="00967FF1" w:rsidRPr="000C7BB3" w:rsidRDefault="00967FF1">
      <w:pPr>
        <w:pStyle w:val="FootnoteText"/>
        <w:rPr>
          <w:lang w:val="nl-NL"/>
        </w:rPr>
      </w:pPr>
      <w:r>
        <w:rPr>
          <w:rStyle w:val="FootnoteReference"/>
        </w:rPr>
        <w:footnoteRef/>
      </w:r>
      <w:r w:rsidRPr="000C7BB3">
        <w:rPr>
          <w:lang w:val="nl-NL"/>
        </w:rPr>
        <w:t xml:space="preserve"> </w:t>
      </w:r>
      <w:r w:rsidR="00F555C5" w:rsidRPr="000C7BB3">
        <w:rPr>
          <w:lang w:val="nl-NL"/>
        </w:rPr>
        <w:t xml:space="preserve">Ika Indriasari, “Sukuk sebagai </w:t>
      </w:r>
      <w:r w:rsidR="004B69A5" w:rsidRPr="000C7BB3">
        <w:rPr>
          <w:lang w:val="nl-NL"/>
        </w:rPr>
        <w:t xml:space="preserve">Alternatif Instrumen Investasi dan Pendanaan”, </w:t>
      </w:r>
      <w:r w:rsidR="001F750E" w:rsidRPr="000C7BB3">
        <w:rPr>
          <w:i/>
          <w:lang w:val="nl-NL"/>
        </w:rPr>
        <w:t>Jurnal Bisnis dan Manajemen Islam</w:t>
      </w:r>
      <w:r w:rsidR="00CB4F9B" w:rsidRPr="000C7BB3">
        <w:rPr>
          <w:lang w:val="nl-NL"/>
        </w:rPr>
        <w:t>, Vol 1 No.1, 2018, hlm.</w:t>
      </w:r>
      <w:r w:rsidR="008624FF" w:rsidRPr="000C7BB3">
        <w:rPr>
          <w:lang w:val="nl-NL"/>
        </w:rPr>
        <w:t xml:space="preserve"> 64.</w:t>
      </w:r>
    </w:p>
  </w:footnote>
  <w:footnote w:id="26">
    <w:p w14:paraId="2BC8ED8D" w14:textId="77777777" w:rsidR="00694A45" w:rsidRPr="000C7BB3" w:rsidRDefault="00694A45" w:rsidP="00694A45">
      <w:pPr>
        <w:pStyle w:val="FootnoteText"/>
        <w:jc w:val="both"/>
        <w:rPr>
          <w:lang w:val="nl-NL"/>
        </w:rPr>
      </w:pPr>
      <w:r>
        <w:rPr>
          <w:rStyle w:val="FootnoteReference"/>
        </w:rPr>
        <w:footnoteRef/>
      </w:r>
      <w:r w:rsidRPr="000C7BB3">
        <w:rPr>
          <w:lang w:val="nl-NL"/>
        </w:rPr>
        <w:t xml:space="preserve"> AJW Mahri dan dkk, </w:t>
      </w:r>
      <w:r w:rsidRPr="000C7BB3">
        <w:rPr>
          <w:i/>
          <w:lang w:val="nl-NL"/>
        </w:rPr>
        <w:t>Ekonomi Pembangunan Islam</w:t>
      </w:r>
      <w:r w:rsidRPr="000C7BB3">
        <w:rPr>
          <w:lang w:val="nl-NL"/>
        </w:rPr>
        <w:t>, Jakarta: Departemen Ekonomi dan Keuangan Syariah – Bank Indonesia, 2021, hlm. 352.</w:t>
      </w:r>
    </w:p>
  </w:footnote>
  <w:footnote w:id="27">
    <w:p w14:paraId="5702D8F4" w14:textId="3D34C14E" w:rsidR="00746BA3" w:rsidRPr="00746BA3" w:rsidRDefault="00746BA3">
      <w:pPr>
        <w:pStyle w:val="FootnoteText"/>
        <w:rPr>
          <w:lang w:val="en-US"/>
        </w:rPr>
      </w:pPr>
      <w:r>
        <w:rPr>
          <w:rStyle w:val="FootnoteReference"/>
        </w:rPr>
        <w:footnoteRef/>
      </w:r>
      <w:r>
        <w:t xml:space="preserve"> </w:t>
      </w:r>
      <w:r>
        <w:rPr>
          <w:lang w:val="en-US"/>
        </w:rPr>
        <w:t>Nenden Suwardini, “Telaahan tenta</w:t>
      </w:r>
      <w:r w:rsidR="007C1555">
        <w:rPr>
          <w:lang w:val="en-US"/>
        </w:rPr>
        <w:t>ng Rencana Penerbitan Obligasi Daerah dan/atau Sukuk Daerah di Jawa Barat</w:t>
      </w:r>
      <w:r w:rsidR="00D467AD">
        <w:rPr>
          <w:lang w:val="en-US"/>
        </w:rPr>
        <w:t>,</w:t>
      </w:r>
      <w:r w:rsidR="007855BE" w:rsidRPr="007855BE">
        <w:t xml:space="preserve"> </w:t>
      </w:r>
      <w:r w:rsidR="007855BE" w:rsidRPr="007855BE">
        <w:rPr>
          <w:i/>
          <w:iCs/>
          <w:lang w:val="en-US"/>
        </w:rPr>
        <w:t>Bappenas Working Papers</w:t>
      </w:r>
      <w:r w:rsidR="007855BE" w:rsidRPr="007855BE">
        <w:rPr>
          <w:lang w:val="en-US"/>
        </w:rPr>
        <w:t>,</w:t>
      </w:r>
      <w:r w:rsidR="007855BE">
        <w:rPr>
          <w:lang w:val="en-US"/>
        </w:rPr>
        <w:t xml:space="preserve"> Volume</w:t>
      </w:r>
      <w:r w:rsidR="007855BE" w:rsidRPr="007855BE">
        <w:rPr>
          <w:lang w:val="en-US"/>
        </w:rPr>
        <w:t xml:space="preserve"> 6</w:t>
      </w:r>
      <w:r w:rsidR="007855BE">
        <w:rPr>
          <w:lang w:val="en-US"/>
        </w:rPr>
        <w:t xml:space="preserve"> Nomor </w:t>
      </w:r>
      <w:r w:rsidR="007855BE" w:rsidRPr="007855BE">
        <w:rPr>
          <w:lang w:val="en-US"/>
        </w:rPr>
        <w:t>2,</w:t>
      </w:r>
      <w:r w:rsidR="007855BE">
        <w:rPr>
          <w:lang w:val="en-US"/>
        </w:rPr>
        <w:t xml:space="preserve"> 2023, hlm</w:t>
      </w:r>
      <w:r w:rsidR="007855BE" w:rsidRPr="007855BE">
        <w:rPr>
          <w:lang w:val="en-US"/>
        </w:rPr>
        <w:t xml:space="preserve"> 1</w:t>
      </w:r>
      <w:r w:rsidR="007855BE">
        <w:rPr>
          <w:lang w:val="en-US"/>
        </w:rPr>
        <w:t>70</w:t>
      </w:r>
      <w:r w:rsidR="007855BE" w:rsidRPr="007855BE">
        <w:rPr>
          <w:lang w:val="en-US"/>
        </w:rPr>
        <w:t xml:space="preserve"> </w:t>
      </w:r>
      <w:r w:rsidR="007855BE">
        <w:rPr>
          <w:lang w:val="en-US"/>
        </w:rPr>
        <w:t>–</w:t>
      </w:r>
      <w:r w:rsidR="007855BE" w:rsidRPr="007855BE">
        <w:rPr>
          <w:lang w:val="en-US"/>
        </w:rPr>
        <w:t xml:space="preserve"> 1</w:t>
      </w:r>
      <w:r w:rsidR="007855BE">
        <w:rPr>
          <w:lang w:val="en-US"/>
        </w:rPr>
        <w:t>7</w:t>
      </w:r>
      <w:r w:rsidR="007855BE" w:rsidRPr="007855BE">
        <w:rPr>
          <w:lang w:val="en-US"/>
        </w:rPr>
        <w:t>1</w:t>
      </w:r>
      <w:r w:rsidR="007855BE">
        <w:rPr>
          <w:lang w:val="en-US"/>
        </w:rPr>
        <w:t>.</w:t>
      </w:r>
    </w:p>
  </w:footnote>
  <w:footnote w:id="28">
    <w:p w14:paraId="52597DDE" w14:textId="5675E91E" w:rsidR="005B4BA7" w:rsidRPr="009C728D" w:rsidRDefault="005B4BA7" w:rsidP="00095B84">
      <w:pPr>
        <w:pStyle w:val="FootnoteText"/>
        <w:jc w:val="both"/>
        <w:rPr>
          <w:lang w:val="en-US"/>
        </w:rPr>
      </w:pPr>
      <w:r>
        <w:rPr>
          <w:rStyle w:val="FootnoteReference"/>
        </w:rPr>
        <w:footnoteRef/>
      </w:r>
      <w:r>
        <w:t xml:space="preserve"> </w:t>
      </w:r>
      <w:r w:rsidR="009C728D">
        <w:rPr>
          <w:lang w:val="en-US"/>
        </w:rPr>
        <w:t xml:space="preserve">Budi S Purnomo, </w:t>
      </w:r>
      <w:r w:rsidR="009C728D">
        <w:rPr>
          <w:i/>
          <w:iCs/>
          <w:lang w:val="en-US"/>
        </w:rPr>
        <w:t>Obligasi Daerah: Alternatif Investasi bagi Masyarakat dan Sumber Pendanaan bagi Pemerintah Daerah</w:t>
      </w:r>
      <w:r w:rsidR="009C728D">
        <w:rPr>
          <w:lang w:val="en-US"/>
        </w:rPr>
        <w:t>, Bandung: Alfabeta, 2009, hlm.</w:t>
      </w:r>
      <w:r w:rsidR="00645879">
        <w:rPr>
          <w:lang w:val="en-US"/>
        </w:rPr>
        <w:t xml:space="preserve"> 47.</w:t>
      </w:r>
    </w:p>
  </w:footnote>
  <w:footnote w:id="29">
    <w:p w14:paraId="25277B1D" w14:textId="2ACB1F46" w:rsidR="00593912" w:rsidRPr="00593912" w:rsidRDefault="00593912">
      <w:pPr>
        <w:pStyle w:val="FootnoteText"/>
        <w:rPr>
          <w:lang w:val="en-US"/>
        </w:rPr>
      </w:pPr>
      <w:r>
        <w:rPr>
          <w:rStyle w:val="FootnoteReference"/>
        </w:rPr>
        <w:footnoteRef/>
      </w:r>
      <w:r>
        <w:t xml:space="preserve"> </w:t>
      </w:r>
      <w:r w:rsidR="00C01AEE" w:rsidRPr="00C01AEE">
        <w:rPr>
          <w:lang w:val="en-US"/>
        </w:rPr>
        <w:t>Nazaruddin Abdul Wahid</w:t>
      </w:r>
      <w:r>
        <w:rPr>
          <w:lang w:val="en-US"/>
        </w:rPr>
        <w:t xml:space="preserve">, </w:t>
      </w:r>
      <w:r>
        <w:rPr>
          <w:i/>
          <w:iCs/>
          <w:lang w:val="en-US"/>
        </w:rPr>
        <w:t>Sukuk memahami dan membedah Obligasi</w:t>
      </w:r>
      <w:r>
        <w:rPr>
          <w:lang w:val="en-US"/>
        </w:rPr>
        <w:t>,</w:t>
      </w:r>
      <w:r w:rsidR="001642FE" w:rsidRPr="001642FE">
        <w:t xml:space="preserve"> </w:t>
      </w:r>
      <w:r w:rsidR="001642FE" w:rsidRPr="001642FE">
        <w:rPr>
          <w:lang w:val="en-US"/>
        </w:rPr>
        <w:t>Yogyakarta: AR-Ruzz Media, 2010</w:t>
      </w:r>
      <w:r w:rsidR="001642FE">
        <w:rPr>
          <w:lang w:val="en-US"/>
        </w:rPr>
        <w:t>,</w:t>
      </w:r>
      <w:r>
        <w:rPr>
          <w:lang w:val="en-US"/>
        </w:rPr>
        <w:t xml:space="preserve"> hlm. 151.</w:t>
      </w:r>
    </w:p>
  </w:footnote>
  <w:footnote w:id="30">
    <w:p w14:paraId="3E637E78" w14:textId="334790F5" w:rsidR="00E94BFE" w:rsidRPr="00E94BFE" w:rsidRDefault="00E94BFE">
      <w:pPr>
        <w:pStyle w:val="FootnoteText"/>
        <w:rPr>
          <w:lang w:val="en-US"/>
        </w:rPr>
      </w:pPr>
      <w:r>
        <w:rPr>
          <w:rStyle w:val="FootnoteReference"/>
        </w:rPr>
        <w:footnoteRef/>
      </w:r>
      <w:r>
        <w:t xml:space="preserve"> </w:t>
      </w:r>
      <w:r w:rsidRPr="00E94BFE">
        <w:t>Sofyan Syafri Harahap. ”Sukuk sebagai Instrument Pendanaan Negara”, Jurnal Ekonomi Islam, Volume 2 Nomor 2, 2008</w:t>
      </w:r>
      <w:r>
        <w:t>, hlm. 218.</w:t>
      </w:r>
    </w:p>
  </w:footnote>
  <w:footnote w:id="31">
    <w:p w14:paraId="12E4C672" w14:textId="5457D104" w:rsidR="00345703" w:rsidRPr="00345703" w:rsidRDefault="00345703" w:rsidP="003F476A">
      <w:pPr>
        <w:pStyle w:val="FootnoteText"/>
        <w:jc w:val="both"/>
        <w:rPr>
          <w:lang w:val="en-US"/>
        </w:rPr>
      </w:pPr>
      <w:r>
        <w:rPr>
          <w:rStyle w:val="FootnoteReference"/>
        </w:rPr>
        <w:footnoteRef/>
      </w:r>
      <w:r>
        <w:t xml:space="preserve"> </w:t>
      </w:r>
      <w:r w:rsidRPr="00345703">
        <w:t>P</w:t>
      </w:r>
      <w:r w:rsidR="00AA38F2">
        <w:t xml:space="preserve">asal </w:t>
      </w:r>
      <w:r w:rsidR="008F3303">
        <w:t>5 ayat (1) P</w:t>
      </w:r>
      <w:r w:rsidRPr="00345703">
        <w:t>eraturan Otoritas Jasa Keuangan Nomor 18/POJK.04/2015</w:t>
      </w:r>
      <w:r w:rsidR="008F3303">
        <w:t>.</w:t>
      </w:r>
    </w:p>
  </w:footnote>
  <w:footnote w:id="32">
    <w:p w14:paraId="643EB1A4" w14:textId="40085D25" w:rsidR="00E14A2F" w:rsidRPr="00E14A2F" w:rsidRDefault="00E14A2F" w:rsidP="003F476A">
      <w:pPr>
        <w:pStyle w:val="FootnoteText"/>
        <w:jc w:val="both"/>
        <w:rPr>
          <w:lang w:val="en-US"/>
        </w:rPr>
      </w:pPr>
      <w:r>
        <w:rPr>
          <w:rStyle w:val="FootnoteReference"/>
        </w:rPr>
        <w:footnoteRef/>
      </w:r>
      <w:r>
        <w:t xml:space="preserve"> </w:t>
      </w:r>
      <w:r>
        <w:rPr>
          <w:lang w:val="en-US"/>
        </w:rPr>
        <w:t>Pasal 50 ayat (1)</w:t>
      </w:r>
      <w:r w:rsidR="006F6D8C">
        <w:rPr>
          <w:lang w:val="en-US"/>
        </w:rPr>
        <w:t xml:space="preserve"> </w:t>
      </w:r>
      <w:r w:rsidR="006F6D8C">
        <w:rPr>
          <w:i/>
          <w:iCs/>
          <w:lang w:val="en-US"/>
        </w:rPr>
        <w:t xml:space="preserve">jo </w:t>
      </w:r>
      <w:r w:rsidR="006F6D8C">
        <w:rPr>
          <w:lang w:val="en-US"/>
        </w:rPr>
        <w:t>Pasal 53 ayat (1)</w:t>
      </w:r>
      <w:r>
        <w:rPr>
          <w:lang w:val="en-US"/>
        </w:rPr>
        <w:t xml:space="preserve"> Peraturan Pemerintah Nomor 1 Tahun 2024.</w:t>
      </w:r>
    </w:p>
  </w:footnote>
  <w:footnote w:id="33">
    <w:p w14:paraId="0687B797" w14:textId="068ECB6C" w:rsidR="009264E1" w:rsidRPr="009264E1" w:rsidRDefault="009264E1" w:rsidP="003F476A">
      <w:pPr>
        <w:pStyle w:val="FootnoteText"/>
        <w:jc w:val="both"/>
        <w:rPr>
          <w:lang w:val="en-US"/>
        </w:rPr>
      </w:pPr>
      <w:r>
        <w:rPr>
          <w:rStyle w:val="FootnoteReference"/>
        </w:rPr>
        <w:footnoteRef/>
      </w:r>
      <w:r>
        <w:t xml:space="preserve"> </w:t>
      </w:r>
      <w:r>
        <w:rPr>
          <w:lang w:val="en-US"/>
        </w:rPr>
        <w:t>Pasal 59 Peraturan Pemerintah Nomor 1 Tahun 2024.</w:t>
      </w:r>
    </w:p>
  </w:footnote>
  <w:footnote w:id="34">
    <w:p w14:paraId="542F4143" w14:textId="219C5ECA" w:rsidR="003F5B47" w:rsidRPr="003F5B47" w:rsidRDefault="003F5B47" w:rsidP="003F476A">
      <w:pPr>
        <w:pStyle w:val="FootnoteText"/>
        <w:jc w:val="both"/>
        <w:rPr>
          <w:lang w:val="en-US"/>
        </w:rPr>
      </w:pPr>
      <w:r>
        <w:rPr>
          <w:rStyle w:val="FootnoteReference"/>
        </w:rPr>
        <w:footnoteRef/>
      </w:r>
      <w:r>
        <w:t xml:space="preserve"> </w:t>
      </w:r>
      <w:r>
        <w:rPr>
          <w:lang w:val="en-US"/>
        </w:rPr>
        <w:t>Pasal 41 ayat (2) Peraturan Pemerintah Nomor 1 Tahun 2024.</w:t>
      </w:r>
    </w:p>
  </w:footnote>
  <w:footnote w:id="35">
    <w:p w14:paraId="270DB87A" w14:textId="7B8F98F7" w:rsidR="00863621" w:rsidRPr="00863621" w:rsidRDefault="00863621" w:rsidP="003F476A">
      <w:pPr>
        <w:pStyle w:val="FootnoteText"/>
        <w:jc w:val="both"/>
        <w:rPr>
          <w:lang w:val="en-US"/>
        </w:rPr>
      </w:pPr>
      <w:r>
        <w:rPr>
          <w:rStyle w:val="FootnoteReference"/>
        </w:rPr>
        <w:footnoteRef/>
      </w:r>
      <w:r>
        <w:t xml:space="preserve"> </w:t>
      </w:r>
      <w:r>
        <w:rPr>
          <w:lang w:val="en-US"/>
        </w:rPr>
        <w:t>Pasal 54 ayat (1) Peraturan Pemerintah Nomor 1 Tahun 2024</w:t>
      </w:r>
      <w:r w:rsidR="00F42EDC">
        <w:rPr>
          <w:lang w:val="en-US"/>
        </w:rPr>
        <w:t xml:space="preserve"> </w:t>
      </w:r>
      <w:r w:rsidR="00F42EDC">
        <w:rPr>
          <w:i/>
          <w:iCs/>
          <w:lang w:val="en-US"/>
        </w:rPr>
        <w:t xml:space="preserve">jo </w:t>
      </w:r>
      <w:r w:rsidR="00F42EDC">
        <w:rPr>
          <w:lang w:val="en-US"/>
        </w:rPr>
        <w:t>Pasal 4 Peraturan Otoritas Jasa Keuangan</w:t>
      </w:r>
      <w:r w:rsidR="004453E0">
        <w:rPr>
          <w:lang w:val="en-US"/>
        </w:rPr>
        <w:t xml:space="preserve"> </w:t>
      </w:r>
      <w:r w:rsidR="006C0A3E">
        <w:rPr>
          <w:lang w:val="en-US"/>
        </w:rPr>
        <w:t>Nomor 61 Tahun 2017</w:t>
      </w:r>
      <w:r>
        <w:rPr>
          <w:lang w:val="en-US"/>
        </w:rPr>
        <w:t>.</w:t>
      </w:r>
    </w:p>
  </w:footnote>
  <w:footnote w:id="36">
    <w:p w14:paraId="4F7D7C82" w14:textId="34BD597B" w:rsidR="002320C2" w:rsidRPr="002320C2" w:rsidRDefault="002320C2">
      <w:pPr>
        <w:pStyle w:val="FootnoteText"/>
        <w:rPr>
          <w:lang w:val="en-US"/>
        </w:rPr>
      </w:pPr>
      <w:r>
        <w:rPr>
          <w:rStyle w:val="FootnoteReference"/>
        </w:rPr>
        <w:footnoteRef/>
      </w:r>
      <w:r>
        <w:t xml:space="preserve"> </w:t>
      </w:r>
      <w:r w:rsidR="00FA0336">
        <w:rPr>
          <w:lang w:val="en-US"/>
        </w:rPr>
        <w:t xml:space="preserve">Pasal 2 ayat (1) </w:t>
      </w:r>
      <w:r w:rsidR="00FA0336" w:rsidRPr="00FA0336">
        <w:rPr>
          <w:lang w:val="en-US"/>
        </w:rPr>
        <w:t>Peraturan Gubernur Nomor 154 Tahun 2017</w:t>
      </w:r>
      <w:r w:rsidR="00777F95">
        <w:rPr>
          <w:lang w:val="en-US"/>
        </w:rPr>
        <w:t>.</w:t>
      </w:r>
    </w:p>
  </w:footnote>
  <w:footnote w:id="37">
    <w:p w14:paraId="0FD1BA14" w14:textId="41FB25C3" w:rsidR="00CB432D" w:rsidRPr="00CB432D" w:rsidRDefault="00CB432D">
      <w:pPr>
        <w:pStyle w:val="FootnoteText"/>
        <w:rPr>
          <w:lang w:val="en-US"/>
        </w:rPr>
      </w:pPr>
      <w:r>
        <w:rPr>
          <w:rStyle w:val="FootnoteReference"/>
        </w:rPr>
        <w:footnoteRef/>
      </w:r>
      <w:r>
        <w:t xml:space="preserve"> </w:t>
      </w:r>
      <w:r w:rsidRPr="00CB432D">
        <w:t>Wurjanto Nopijantoro, “Surat Berharga Syariah Negara Project Based Sukuk (SBSN PBS): sebuah Instrumen Alternatif Partisipasi Publik dalam Pembiayaan Infrastruktur”, Jurnal Substansi, Volume 1 Nomor 2, 2017</w:t>
      </w:r>
      <w:r w:rsidR="009D7002">
        <w:t>. hlm. 5</w:t>
      </w:r>
    </w:p>
  </w:footnote>
  <w:footnote w:id="38">
    <w:p w14:paraId="048ABEF2" w14:textId="77777777" w:rsidR="00612F6D" w:rsidRPr="000048E0" w:rsidRDefault="00612F6D" w:rsidP="00612F6D">
      <w:pPr>
        <w:pStyle w:val="FootnoteText"/>
        <w:rPr>
          <w:lang w:val="en-US"/>
        </w:rPr>
      </w:pPr>
      <w:r>
        <w:rPr>
          <w:rStyle w:val="FootnoteReference"/>
        </w:rPr>
        <w:footnoteRef/>
      </w:r>
      <w:r>
        <w:t xml:space="preserve"> </w:t>
      </w:r>
      <w:r>
        <w:rPr>
          <w:lang w:val="en-US"/>
        </w:rPr>
        <w:t>Pasal 70 ayat (2) Undang-Undang Nomor 8 Tahun 1995.</w:t>
      </w:r>
    </w:p>
  </w:footnote>
  <w:footnote w:id="39">
    <w:p w14:paraId="59CBF452" w14:textId="77777777" w:rsidR="00612F6D" w:rsidRPr="00FB6FF0" w:rsidRDefault="00612F6D" w:rsidP="00612F6D">
      <w:pPr>
        <w:pStyle w:val="FootnoteText"/>
        <w:rPr>
          <w:lang w:val="en-US"/>
        </w:rPr>
      </w:pPr>
      <w:r>
        <w:rPr>
          <w:rStyle w:val="FootnoteReference"/>
        </w:rPr>
        <w:footnoteRef/>
      </w:r>
      <w:r>
        <w:t xml:space="preserve"> </w:t>
      </w:r>
      <w:r>
        <w:rPr>
          <w:lang w:val="en-US"/>
        </w:rPr>
        <w:t>Pasal 6 Peraturan Otoritas Jasa Keuangan Nomor 30 Tahun 2019.</w:t>
      </w:r>
    </w:p>
  </w:footnote>
  <w:footnote w:id="40">
    <w:p w14:paraId="0068E6A7" w14:textId="77777777" w:rsidR="00612F6D" w:rsidRPr="00DC7D91" w:rsidRDefault="00612F6D" w:rsidP="00612F6D">
      <w:pPr>
        <w:pStyle w:val="FootnoteText"/>
        <w:rPr>
          <w:lang w:val="en-US"/>
        </w:rPr>
      </w:pPr>
      <w:r>
        <w:rPr>
          <w:rStyle w:val="FootnoteReference"/>
        </w:rPr>
        <w:footnoteRef/>
      </w:r>
      <w:r>
        <w:t xml:space="preserve"> </w:t>
      </w:r>
      <w:r>
        <w:rPr>
          <w:lang w:val="en-US"/>
        </w:rPr>
        <w:t xml:space="preserve">Pasal 1 ayat (4) </w:t>
      </w:r>
      <w:r w:rsidRPr="006A6B78">
        <w:rPr>
          <w:lang w:val="en-US"/>
        </w:rPr>
        <w:t>Peraturan Otoritas Jasa Keuangan Nomor 11/POJK.04/2018 Tahun 2018</w:t>
      </w:r>
      <w:r>
        <w:rPr>
          <w:lang w:val="en-US"/>
        </w:rPr>
        <w:t>.</w:t>
      </w:r>
    </w:p>
  </w:footnote>
  <w:footnote w:id="41">
    <w:p w14:paraId="5365479E" w14:textId="77777777" w:rsidR="00612F6D" w:rsidRPr="00CB0D3C" w:rsidRDefault="00612F6D" w:rsidP="00612F6D">
      <w:pPr>
        <w:pStyle w:val="FootnoteText"/>
        <w:rPr>
          <w:lang w:val="en-US"/>
        </w:rPr>
      </w:pPr>
      <w:r>
        <w:rPr>
          <w:rStyle w:val="FootnoteReference"/>
        </w:rPr>
        <w:footnoteRef/>
      </w:r>
      <w:r>
        <w:t xml:space="preserve"> </w:t>
      </w:r>
      <w:r>
        <w:rPr>
          <w:lang w:val="en-US"/>
        </w:rPr>
        <w:t xml:space="preserve">Pasal 5 ayat (1) </w:t>
      </w:r>
      <w:r w:rsidRPr="006A6B78">
        <w:rPr>
          <w:lang w:val="en-US"/>
        </w:rPr>
        <w:t>Peraturan Otoritas Jasa Keuangan Nomor 11/POJK.04/2018 Tahun 2018</w:t>
      </w:r>
      <w:r>
        <w:rPr>
          <w:lang w:val="en-US"/>
        </w:rPr>
        <w:t>.</w:t>
      </w:r>
    </w:p>
  </w:footnote>
  <w:footnote w:id="42">
    <w:p w14:paraId="6F796604" w14:textId="77777777" w:rsidR="00612F6D" w:rsidRPr="007917EC" w:rsidRDefault="00612F6D" w:rsidP="00612F6D">
      <w:pPr>
        <w:pStyle w:val="FootnoteText"/>
        <w:jc w:val="both"/>
        <w:rPr>
          <w:lang w:val="en-US"/>
        </w:rPr>
      </w:pPr>
      <w:r>
        <w:rPr>
          <w:rStyle w:val="FootnoteReference"/>
        </w:rPr>
        <w:footnoteRef/>
      </w:r>
      <w:r>
        <w:t xml:space="preserve"> </w:t>
      </w:r>
      <w:r>
        <w:rPr>
          <w:lang w:val="en-US"/>
        </w:rPr>
        <w:t>Pasal 3 huruf (a) Peraturan Otoritas Jasa Keuangan Nomor 30 Tahun 2019.</w:t>
      </w:r>
    </w:p>
  </w:footnote>
  <w:footnote w:id="43">
    <w:p w14:paraId="1F4BAC14" w14:textId="77777777" w:rsidR="00612F6D" w:rsidRPr="005216FD" w:rsidRDefault="00612F6D" w:rsidP="00612F6D">
      <w:pPr>
        <w:pStyle w:val="FootnoteText"/>
        <w:jc w:val="both"/>
        <w:rPr>
          <w:lang w:val="en-US"/>
        </w:rPr>
      </w:pPr>
      <w:r>
        <w:rPr>
          <w:rStyle w:val="FootnoteReference"/>
        </w:rPr>
        <w:footnoteRef/>
      </w:r>
      <w:r>
        <w:t xml:space="preserve"> </w:t>
      </w:r>
      <w:r>
        <w:rPr>
          <w:lang w:val="en-US"/>
        </w:rPr>
        <w:t>Pasal 3 huruf (b) Peraturan Otoritas Jasa Keuangan Nomor 30 Tahun 2019.</w:t>
      </w:r>
    </w:p>
  </w:footnote>
  <w:footnote w:id="44">
    <w:p w14:paraId="35154239" w14:textId="77777777" w:rsidR="00612F6D" w:rsidRPr="00CD663F" w:rsidRDefault="00612F6D" w:rsidP="00612F6D">
      <w:pPr>
        <w:pStyle w:val="FootnoteText"/>
        <w:jc w:val="both"/>
        <w:rPr>
          <w:lang w:val="en-US"/>
        </w:rPr>
      </w:pPr>
      <w:r>
        <w:rPr>
          <w:rStyle w:val="FootnoteReference"/>
        </w:rPr>
        <w:footnoteRef/>
      </w:r>
      <w:r>
        <w:t xml:space="preserve"> </w:t>
      </w:r>
      <w:r>
        <w:rPr>
          <w:lang w:val="en-US"/>
        </w:rPr>
        <w:t>Pasal 4 ayat (1) Peraturan Otoritas Jasa Keuangan Nomor 30 Tahun 2019.</w:t>
      </w:r>
    </w:p>
  </w:footnote>
  <w:footnote w:id="45">
    <w:p w14:paraId="0B9A5F13" w14:textId="77777777" w:rsidR="00612F6D" w:rsidRPr="00EC6188" w:rsidRDefault="00612F6D" w:rsidP="00612F6D">
      <w:pPr>
        <w:pStyle w:val="FootnoteText"/>
        <w:jc w:val="both"/>
        <w:rPr>
          <w:lang w:val="en-US"/>
        </w:rPr>
      </w:pPr>
      <w:r>
        <w:rPr>
          <w:rStyle w:val="FootnoteReference"/>
        </w:rPr>
        <w:footnoteRef/>
      </w:r>
      <w:r>
        <w:t xml:space="preserve"> </w:t>
      </w:r>
      <w:r>
        <w:rPr>
          <w:lang w:val="en-US"/>
        </w:rPr>
        <w:t>Pasal 4 ayat (1) huruf b Peraturan Otoritas Jasa Keuangan Nomor 30 Tahun 2019.</w:t>
      </w:r>
    </w:p>
  </w:footnote>
  <w:footnote w:id="46">
    <w:p w14:paraId="3C3E11A0" w14:textId="77777777" w:rsidR="00612F6D" w:rsidRPr="00F46A31" w:rsidRDefault="00612F6D" w:rsidP="00612F6D">
      <w:pPr>
        <w:pStyle w:val="FootnoteText"/>
        <w:jc w:val="both"/>
        <w:rPr>
          <w:lang w:val="en-US"/>
        </w:rPr>
      </w:pPr>
      <w:r>
        <w:rPr>
          <w:rStyle w:val="FootnoteReference"/>
        </w:rPr>
        <w:footnoteRef/>
      </w:r>
      <w:r>
        <w:t xml:space="preserve"> </w:t>
      </w:r>
      <w:r>
        <w:rPr>
          <w:lang w:val="en-US"/>
        </w:rPr>
        <w:t>Pasal 4 ayat (1) huruf c Peraturan Otoritas Jasa Keuangan Nomor 30 Tahun 2019.</w:t>
      </w:r>
    </w:p>
  </w:footnote>
  <w:footnote w:id="47">
    <w:p w14:paraId="34370A08" w14:textId="77777777" w:rsidR="00612F6D" w:rsidRPr="000A62E7" w:rsidRDefault="00612F6D" w:rsidP="00612F6D">
      <w:pPr>
        <w:pStyle w:val="FootnoteText"/>
        <w:jc w:val="both"/>
        <w:rPr>
          <w:lang w:val="en-US"/>
        </w:rPr>
      </w:pPr>
      <w:r>
        <w:rPr>
          <w:rStyle w:val="FootnoteReference"/>
        </w:rPr>
        <w:footnoteRef/>
      </w:r>
      <w:r>
        <w:t xml:space="preserve"> </w:t>
      </w:r>
      <w:r>
        <w:rPr>
          <w:lang w:val="en-US"/>
        </w:rPr>
        <w:t>Pasal 4 ayat (1) huruf d Peraturan Otoritas Jasa Keuangan Nomor 30 Tahun 2019.</w:t>
      </w:r>
    </w:p>
  </w:footnote>
  <w:footnote w:id="48">
    <w:p w14:paraId="0D4A6CE1" w14:textId="555DA214" w:rsidR="001D0B27" w:rsidRPr="001D0B27" w:rsidRDefault="001D0B27" w:rsidP="00095B84">
      <w:pPr>
        <w:pStyle w:val="FootnoteText"/>
        <w:jc w:val="both"/>
        <w:rPr>
          <w:lang w:val="en-US"/>
        </w:rPr>
      </w:pPr>
      <w:r>
        <w:rPr>
          <w:rStyle w:val="FootnoteReference"/>
        </w:rPr>
        <w:footnoteRef/>
      </w:r>
      <w:r>
        <w:t xml:space="preserve"> </w:t>
      </w:r>
      <w:r>
        <w:rPr>
          <w:lang w:val="en-US"/>
        </w:rPr>
        <w:t>Undang-Undang Nomor 17 Tahun 2007 tentang Rencana Pembangunan Jangka Panjang Nasional Tahun 2005-2025, Lampiran hlm. 3.</w:t>
      </w:r>
    </w:p>
  </w:footnote>
  <w:footnote w:id="49">
    <w:p w14:paraId="10574F3A" w14:textId="63E35E43" w:rsidR="00D3629D" w:rsidRPr="00D3629D" w:rsidRDefault="00D3629D">
      <w:pPr>
        <w:pStyle w:val="FootnoteText"/>
        <w:rPr>
          <w:lang w:val="en-US"/>
        </w:rPr>
      </w:pPr>
      <w:r>
        <w:rPr>
          <w:rStyle w:val="FootnoteReference"/>
        </w:rPr>
        <w:footnoteRef/>
      </w:r>
      <w:r>
        <w:t xml:space="preserve"> </w:t>
      </w:r>
      <w:r>
        <w:rPr>
          <w:lang w:val="en-US"/>
        </w:rPr>
        <w:t>Peraturan Presiden Nomor 2 Tahun 2015, Lampiran Buku I, hlm. 5-1.</w:t>
      </w:r>
    </w:p>
  </w:footnote>
  <w:footnote w:id="50">
    <w:p w14:paraId="406834B7" w14:textId="6B978279" w:rsidR="004813F6" w:rsidRPr="004813F6" w:rsidRDefault="004813F6">
      <w:pPr>
        <w:pStyle w:val="FootnoteText"/>
        <w:rPr>
          <w:lang w:val="en-US"/>
        </w:rPr>
      </w:pPr>
      <w:r>
        <w:rPr>
          <w:rStyle w:val="FootnoteReference"/>
        </w:rPr>
        <w:footnoteRef/>
      </w:r>
      <w:r>
        <w:t xml:space="preserve"> </w:t>
      </w:r>
      <w:r>
        <w:rPr>
          <w:lang w:val="en-US"/>
        </w:rPr>
        <w:t>Peraturan Presiden Nomor 18 Tahun 2020</w:t>
      </w:r>
      <w:r w:rsidR="0084693B">
        <w:rPr>
          <w:lang w:val="en-US"/>
        </w:rPr>
        <w:t>, Lampiran I Narasi Rencana Pembangunan Jangka Menengah Nasional Tahun 2020-2024, hlm. I.3.</w:t>
      </w:r>
    </w:p>
  </w:footnote>
  <w:footnote w:id="51">
    <w:p w14:paraId="319F22DA" w14:textId="70C8E00B" w:rsidR="000F3931" w:rsidRPr="000F3931" w:rsidRDefault="000F3931" w:rsidP="00377451">
      <w:pPr>
        <w:pStyle w:val="FootnoteText"/>
        <w:jc w:val="both"/>
        <w:rPr>
          <w:lang w:val="en-US"/>
        </w:rPr>
      </w:pPr>
      <w:r>
        <w:rPr>
          <w:rStyle w:val="FootnoteReference"/>
        </w:rPr>
        <w:footnoteRef/>
      </w:r>
      <w:r>
        <w:t xml:space="preserve"> </w:t>
      </w:r>
      <w:r>
        <w:rPr>
          <w:lang w:val="en-US"/>
        </w:rPr>
        <w:t>Otoritas Jasa Keuangan, “</w:t>
      </w:r>
      <w:r>
        <w:rPr>
          <w:i/>
          <w:iCs/>
          <w:lang w:val="en-US"/>
        </w:rPr>
        <w:t xml:space="preserve">Roadmap </w:t>
      </w:r>
      <w:r>
        <w:rPr>
          <w:lang w:val="en-US"/>
        </w:rPr>
        <w:t>Keuangan Berkelanjutan</w:t>
      </w:r>
      <w:r w:rsidR="00CA0645" w:rsidRPr="00CA0645">
        <w:t xml:space="preserve"> </w:t>
      </w:r>
      <w:r w:rsidR="00CA0645" w:rsidRPr="00CA0645">
        <w:rPr>
          <w:lang w:val="en-US"/>
        </w:rPr>
        <w:t>Tahap II (2021 – 2025)</w:t>
      </w:r>
      <w:r w:rsidR="00CA0645">
        <w:rPr>
          <w:lang w:val="en-US"/>
        </w:rPr>
        <w:t>”</w:t>
      </w:r>
      <w:r w:rsidR="0058765E">
        <w:rPr>
          <w:lang w:val="en-US"/>
        </w:rPr>
        <w:t>, hlm. 15.</w:t>
      </w:r>
    </w:p>
  </w:footnote>
  <w:footnote w:id="52">
    <w:p w14:paraId="4C47AE3E" w14:textId="16B43789" w:rsidR="00191A9C" w:rsidRPr="00191A9C" w:rsidRDefault="00191A9C" w:rsidP="00377451">
      <w:pPr>
        <w:pStyle w:val="FootnoteText"/>
        <w:jc w:val="both"/>
        <w:rPr>
          <w:lang w:val="en-US"/>
        </w:rPr>
      </w:pPr>
      <w:r>
        <w:rPr>
          <w:rStyle w:val="FootnoteReference"/>
        </w:rPr>
        <w:footnoteRef/>
      </w:r>
      <w:r>
        <w:t xml:space="preserve"> </w:t>
      </w:r>
      <w:r>
        <w:rPr>
          <w:i/>
          <w:iCs/>
          <w:lang w:val="en-US"/>
        </w:rPr>
        <w:t>Ibid</w:t>
      </w:r>
      <w:r>
        <w:rPr>
          <w:lang w:val="en-US"/>
        </w:rPr>
        <w:t>.</w:t>
      </w:r>
    </w:p>
  </w:footnote>
  <w:footnote w:id="53">
    <w:p w14:paraId="64DB4605" w14:textId="57F9DECB" w:rsidR="00B44155" w:rsidRPr="00464A45" w:rsidRDefault="00B44155" w:rsidP="00377451">
      <w:pPr>
        <w:pStyle w:val="FootnoteText"/>
        <w:jc w:val="both"/>
        <w:rPr>
          <w:lang w:val="en-US"/>
        </w:rPr>
      </w:pPr>
      <w:r>
        <w:rPr>
          <w:rStyle w:val="FootnoteReference"/>
        </w:rPr>
        <w:footnoteRef/>
      </w:r>
      <w:r>
        <w:t xml:space="preserve"> </w:t>
      </w:r>
      <w:r>
        <w:rPr>
          <w:lang w:val="en-US"/>
        </w:rPr>
        <w:t>Pemerintah Indonesia, “</w:t>
      </w:r>
      <w:r>
        <w:rPr>
          <w:i/>
          <w:iCs/>
          <w:lang w:val="en-US"/>
        </w:rPr>
        <w:t>Enhanced Nationally Determined Contribution</w:t>
      </w:r>
      <w:r w:rsidR="00464A45">
        <w:rPr>
          <w:lang w:val="en-US"/>
        </w:rPr>
        <w:t>, 2022, hlm.19.</w:t>
      </w:r>
    </w:p>
  </w:footnote>
  <w:footnote w:id="54">
    <w:p w14:paraId="44D05D38" w14:textId="69C2AEF9" w:rsidR="00BA62A6" w:rsidRPr="00BA62A6" w:rsidRDefault="00BA62A6" w:rsidP="00377451">
      <w:pPr>
        <w:pStyle w:val="FootnoteText"/>
        <w:jc w:val="both"/>
        <w:rPr>
          <w:lang w:val="en-US"/>
        </w:rPr>
      </w:pPr>
      <w:r>
        <w:rPr>
          <w:rStyle w:val="FootnoteReference"/>
        </w:rPr>
        <w:footnoteRef/>
      </w:r>
      <w:r w:rsidR="00C336CC">
        <w:rPr>
          <w:lang w:val="en-US"/>
        </w:rPr>
        <w:t xml:space="preserve"> </w:t>
      </w:r>
      <w:r>
        <w:rPr>
          <w:lang w:val="en-US"/>
        </w:rPr>
        <w:t xml:space="preserve">Pasal </w:t>
      </w:r>
      <w:r w:rsidR="00743C11">
        <w:rPr>
          <w:lang w:val="en-US"/>
        </w:rPr>
        <w:t>1 ayat (3) Peraturan Otoritas Jasa Keuangan Nomor 18 Tahun 2023.</w:t>
      </w:r>
    </w:p>
  </w:footnote>
  <w:footnote w:id="55">
    <w:p w14:paraId="5229A828" w14:textId="0B2005D3" w:rsidR="005F261D" w:rsidRPr="00CB7EFB" w:rsidRDefault="005F261D" w:rsidP="00377451">
      <w:pPr>
        <w:pStyle w:val="FootnoteText"/>
        <w:jc w:val="both"/>
        <w:rPr>
          <w:i/>
          <w:iCs/>
          <w:lang w:val="en-US"/>
        </w:rPr>
      </w:pPr>
      <w:r>
        <w:rPr>
          <w:rStyle w:val="FootnoteReference"/>
        </w:rPr>
        <w:footnoteRef/>
      </w:r>
      <w:r w:rsidR="00C336CC">
        <w:rPr>
          <w:lang w:val="en-US"/>
        </w:rPr>
        <w:t xml:space="preserve"> </w:t>
      </w:r>
      <w:r w:rsidR="00E8626E">
        <w:rPr>
          <w:lang w:val="en-US"/>
        </w:rPr>
        <w:t>Ridho Erianto, Muhammad Satrya Mutthaqin, dan Marliyah,</w:t>
      </w:r>
      <w:r w:rsidR="003207E1">
        <w:rPr>
          <w:lang w:val="en-US"/>
        </w:rPr>
        <w:t xml:space="preserve"> “Urgensi </w:t>
      </w:r>
      <w:r w:rsidR="003207E1">
        <w:rPr>
          <w:i/>
          <w:iCs/>
          <w:lang w:val="en-US"/>
        </w:rPr>
        <w:t xml:space="preserve">Green </w:t>
      </w:r>
      <w:r w:rsidR="003207E1">
        <w:rPr>
          <w:lang w:val="en-US"/>
        </w:rPr>
        <w:t>Sukuk dalam Menjaga Keberlang</w:t>
      </w:r>
      <w:r w:rsidR="00CB7EFB">
        <w:rPr>
          <w:lang w:val="en-US"/>
        </w:rPr>
        <w:t xml:space="preserve">sungan Lingkungan Hidup di Indonesia, </w:t>
      </w:r>
      <w:r w:rsidR="00CB7EFB">
        <w:rPr>
          <w:i/>
          <w:iCs/>
          <w:lang w:val="en-US"/>
        </w:rPr>
        <w:t xml:space="preserve">Jurnal </w:t>
      </w:r>
      <w:r w:rsidR="006E582E" w:rsidRPr="006E582E">
        <w:rPr>
          <w:i/>
          <w:iCs/>
          <w:lang w:val="en-US"/>
        </w:rPr>
        <w:t>Asy-</w:t>
      </w:r>
      <w:r w:rsidR="006E582E" w:rsidRPr="006E582E">
        <w:rPr>
          <w:lang w:val="en-US"/>
        </w:rPr>
        <w:t>Syarikah</w:t>
      </w:r>
      <w:r w:rsidR="006E582E">
        <w:rPr>
          <w:lang w:val="en-US"/>
        </w:rPr>
        <w:t xml:space="preserve">, </w:t>
      </w:r>
      <w:r w:rsidR="006E582E" w:rsidRPr="006E582E">
        <w:rPr>
          <w:lang w:val="en-US"/>
        </w:rPr>
        <w:t>Vol</w:t>
      </w:r>
      <w:r w:rsidR="004F34AA">
        <w:rPr>
          <w:lang w:val="en-US"/>
        </w:rPr>
        <w:t>.</w:t>
      </w:r>
      <w:r w:rsidR="006E582E">
        <w:rPr>
          <w:lang w:val="en-US"/>
        </w:rPr>
        <w:t xml:space="preserve"> 6 </w:t>
      </w:r>
      <w:r w:rsidR="006E582E" w:rsidRPr="006E582E">
        <w:rPr>
          <w:lang w:val="en-US"/>
        </w:rPr>
        <w:t>No</w:t>
      </w:r>
      <w:r w:rsidR="004F34AA">
        <w:rPr>
          <w:lang w:val="en-US"/>
        </w:rPr>
        <w:t>.</w:t>
      </w:r>
      <w:r w:rsidR="006E582E" w:rsidRPr="006E582E">
        <w:rPr>
          <w:i/>
          <w:iCs/>
          <w:lang w:val="en-US"/>
        </w:rPr>
        <w:t xml:space="preserve"> </w:t>
      </w:r>
      <w:r w:rsidR="006E582E">
        <w:rPr>
          <w:lang w:val="en-US"/>
        </w:rPr>
        <w:t>1, 2024. hlm.</w:t>
      </w:r>
      <w:r w:rsidR="00EB086E">
        <w:rPr>
          <w:lang w:val="en-US"/>
        </w:rPr>
        <w:t xml:space="preserve"> 30.</w:t>
      </w:r>
    </w:p>
  </w:footnote>
  <w:footnote w:id="56">
    <w:p w14:paraId="7D9D2845" w14:textId="7E3A7BFC" w:rsidR="00D06F8A" w:rsidRPr="00D06F8A" w:rsidRDefault="00D06F8A" w:rsidP="00377451">
      <w:pPr>
        <w:pStyle w:val="FootnoteText"/>
        <w:jc w:val="both"/>
        <w:rPr>
          <w:lang w:val="en-US"/>
        </w:rPr>
      </w:pPr>
      <w:r>
        <w:rPr>
          <w:rStyle w:val="FootnoteReference"/>
        </w:rPr>
        <w:footnoteRef/>
      </w:r>
      <w:r>
        <w:t xml:space="preserve"> </w:t>
      </w:r>
      <w:r>
        <w:rPr>
          <w:lang w:val="en-US"/>
        </w:rPr>
        <w:t>Penjelasan Umum Peraturan Otoritas Jasa Keuangan Nomor 18 Tahun 2023.</w:t>
      </w:r>
    </w:p>
  </w:footnote>
  <w:footnote w:id="57">
    <w:p w14:paraId="700FE537" w14:textId="336F2F2A" w:rsidR="007D1969" w:rsidRPr="00131C9D" w:rsidRDefault="007D1969" w:rsidP="00377451">
      <w:pPr>
        <w:pStyle w:val="FootnoteText"/>
        <w:jc w:val="both"/>
        <w:rPr>
          <w:lang w:val="en-US"/>
        </w:rPr>
      </w:pPr>
      <w:r>
        <w:rPr>
          <w:rStyle w:val="FootnoteReference"/>
        </w:rPr>
        <w:footnoteRef/>
      </w:r>
      <w:r>
        <w:t xml:space="preserve"> </w:t>
      </w:r>
      <w:r w:rsidR="00131C9D">
        <w:rPr>
          <w:lang w:val="en-US"/>
        </w:rPr>
        <w:t xml:space="preserve">ICMA, </w:t>
      </w:r>
      <w:r w:rsidR="00131C9D">
        <w:rPr>
          <w:i/>
          <w:iCs/>
          <w:lang w:val="en-US"/>
        </w:rPr>
        <w:t>The Green Bond Principles 2017</w:t>
      </w:r>
      <w:r w:rsidR="00131C9D">
        <w:rPr>
          <w:lang w:val="en-US"/>
        </w:rPr>
        <w:t xml:space="preserve">, </w:t>
      </w:r>
      <w:hyperlink r:id="rId2" w:history="1">
        <w:r w:rsidR="0031115E" w:rsidRPr="00FF2803">
          <w:rPr>
            <w:rStyle w:val="Hyperlink"/>
            <w:lang w:val="en-US"/>
          </w:rPr>
          <w:t>https://www.icmagroup.org/assets/documents/Regulatory/Green-Bonds/GreenBondsBrochure-JUNE2017.pdf</w:t>
        </w:r>
      </w:hyperlink>
      <w:r w:rsidR="0031115E">
        <w:rPr>
          <w:lang w:val="en-US"/>
        </w:rPr>
        <w:t>, diakses pada 8 Oktober 2024.</w:t>
      </w:r>
    </w:p>
  </w:footnote>
  <w:footnote w:id="58">
    <w:p w14:paraId="7942F5BA" w14:textId="6B35CDB2" w:rsidR="006829CF" w:rsidRPr="006829CF" w:rsidRDefault="006829CF" w:rsidP="00377451">
      <w:pPr>
        <w:pStyle w:val="FootnoteText"/>
        <w:jc w:val="both"/>
        <w:rPr>
          <w:lang w:val="en-US"/>
        </w:rPr>
      </w:pPr>
      <w:r>
        <w:rPr>
          <w:rStyle w:val="FootnoteReference"/>
        </w:rPr>
        <w:footnoteRef/>
      </w:r>
      <w:r w:rsidR="00197B80">
        <w:t xml:space="preserve"> Pemerintah Indonesia, </w:t>
      </w:r>
      <w:r w:rsidR="00197B80">
        <w:rPr>
          <w:i/>
          <w:iCs/>
        </w:rPr>
        <w:t>G</w:t>
      </w:r>
      <w:r w:rsidR="00435EF0">
        <w:rPr>
          <w:i/>
          <w:iCs/>
        </w:rPr>
        <w:t>overnment Securities Framework,</w:t>
      </w:r>
      <w:r w:rsidR="00197B80">
        <w:rPr>
          <w:i/>
          <w:iCs/>
        </w:rPr>
        <w:t xml:space="preserve"> </w:t>
      </w:r>
      <w:r>
        <w:t xml:space="preserve"> </w:t>
      </w:r>
      <w:hyperlink r:id="rId3" w:history="1">
        <w:r w:rsidR="00435EF0" w:rsidRPr="00FF2803">
          <w:rPr>
            <w:rStyle w:val="Hyperlink"/>
          </w:rPr>
          <w:t>https://www.djppr.kemenkeu.go.id/governmentsecuritiesframework</w:t>
        </w:r>
      </w:hyperlink>
      <w:r w:rsidR="00435EF0">
        <w:t>, diakses pada 8 Oktober 2024.</w:t>
      </w:r>
    </w:p>
  </w:footnote>
  <w:footnote w:id="59">
    <w:p w14:paraId="14BEA264" w14:textId="5E283353" w:rsidR="003B7F71" w:rsidRPr="003B7F71" w:rsidRDefault="003B7F71">
      <w:pPr>
        <w:pStyle w:val="FootnoteText"/>
        <w:rPr>
          <w:lang w:val="en-US"/>
        </w:rPr>
      </w:pPr>
      <w:r>
        <w:rPr>
          <w:rStyle w:val="FootnoteReference"/>
        </w:rPr>
        <w:footnoteRef/>
      </w:r>
      <w:r>
        <w:t xml:space="preserve"> </w:t>
      </w:r>
      <w:r>
        <w:rPr>
          <w:lang w:val="en-US"/>
        </w:rPr>
        <w:t xml:space="preserve">Pasal 6 ayat (1) huruf a </w:t>
      </w:r>
      <w:r>
        <w:rPr>
          <w:i/>
          <w:iCs/>
          <w:lang w:val="en-US"/>
        </w:rPr>
        <w:t xml:space="preserve">jo </w:t>
      </w:r>
      <w:r>
        <w:rPr>
          <w:lang w:val="en-US"/>
        </w:rPr>
        <w:t xml:space="preserve">Pasal 8 </w:t>
      </w:r>
      <w:r w:rsidR="00AC00B3">
        <w:rPr>
          <w:lang w:val="en-US"/>
        </w:rPr>
        <w:t>Peraturan Otoritas Jasa Keuangan Nomor 18 Tahun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7233" w14:textId="77777777" w:rsidR="000C7BB3" w:rsidRDefault="000C7BB3" w:rsidP="000C7BB3">
    <w:pPr>
      <w:pBdr>
        <w:top w:val="nil"/>
        <w:left w:val="nil"/>
        <w:bottom w:val="nil"/>
        <w:right w:val="nil"/>
        <w:between w:val="nil"/>
      </w:pBdr>
      <w:tabs>
        <w:tab w:val="left" w:pos="8910"/>
      </w:tabs>
      <w:spacing w:line="240" w:lineRule="auto"/>
      <w:rPr>
        <w:color w:val="000000"/>
      </w:rPr>
    </w:pPr>
    <w:r>
      <w:rPr>
        <w:noProof/>
        <w:color w:val="000000"/>
      </w:rPr>
      <mc:AlternateContent>
        <mc:Choice Requires="wps">
          <w:drawing>
            <wp:anchor distT="0" distB="0" distL="0" distR="0" simplePos="0" relativeHeight="251658240" behindDoc="1" locked="0" layoutInCell="1" hidden="0" allowOverlap="1" wp14:anchorId="242E08BB" wp14:editId="1511B7E4">
              <wp:simplePos x="0" y="0"/>
              <wp:positionH relativeFrom="margin">
                <wp:align>right</wp:align>
              </wp:positionH>
              <wp:positionV relativeFrom="topMargin">
                <wp:posOffset>360680</wp:posOffset>
              </wp:positionV>
              <wp:extent cx="3175000" cy="788670"/>
              <wp:effectExtent l="0" t="0" r="6350" b="11430"/>
              <wp:wrapNone/>
              <wp:docPr id="2" name="Persegi Panjang 2"/>
              <wp:cNvGraphicFramePr/>
              <a:graphic xmlns:a="http://schemas.openxmlformats.org/drawingml/2006/main">
                <a:graphicData uri="http://schemas.microsoft.com/office/word/2010/wordprocessingShape">
                  <wps:wsp>
                    <wps:cNvSpPr/>
                    <wps:spPr>
                      <a:xfrm>
                        <a:off x="0" y="0"/>
                        <a:ext cx="3175000" cy="788670"/>
                      </a:xfrm>
                      <a:prstGeom prst="rect">
                        <a:avLst/>
                      </a:prstGeom>
                      <a:noFill/>
                      <a:ln>
                        <a:noFill/>
                      </a:ln>
                    </wps:spPr>
                    <wps:txbx>
                      <w:txbxContent>
                        <w:p w14:paraId="310D5F1F" w14:textId="77777777" w:rsidR="000C7BB3" w:rsidRPr="00480060" w:rsidRDefault="000C7BB3" w:rsidP="000C7BB3">
                          <w:pPr>
                            <w:spacing w:after="0" w:line="240" w:lineRule="auto"/>
                            <w:jc w:val="right"/>
                            <w:textDirection w:val="btLr"/>
                            <w:rPr>
                              <w:lang w:val="nl-NL"/>
                            </w:rPr>
                          </w:pPr>
                          <w:r w:rsidRPr="00480060">
                            <w:rPr>
                              <w:rFonts w:ascii="Cambria" w:eastAsia="Cambria" w:hAnsi="Cambria" w:cs="Cambria"/>
                              <w:color w:val="000000"/>
                              <w:lang w:val="nl-NL"/>
                            </w:rPr>
                            <w:t>Jurnal Hukum dan Kewarganegaraan</w:t>
                          </w:r>
                        </w:p>
                        <w:p w14:paraId="6906E76D" w14:textId="77777777" w:rsidR="000C7BB3" w:rsidRPr="00480060" w:rsidRDefault="000C7BB3" w:rsidP="000C7BB3">
                          <w:pPr>
                            <w:spacing w:after="0" w:line="240" w:lineRule="auto"/>
                            <w:jc w:val="right"/>
                            <w:textDirection w:val="btLr"/>
                            <w:rPr>
                              <w:lang w:val="nl-NL"/>
                            </w:rPr>
                          </w:pPr>
                          <w:r w:rsidRPr="00480060">
                            <w:rPr>
                              <w:rFonts w:ascii="Cambria" w:eastAsia="Cambria" w:hAnsi="Cambria" w:cs="Cambria"/>
                              <w:color w:val="000000"/>
                              <w:lang w:val="nl-NL"/>
                            </w:rPr>
                            <w:t>Vol 15 No11 Tahun 2025</w:t>
                          </w:r>
                        </w:p>
                        <w:p w14:paraId="48E91F28" w14:textId="77777777" w:rsidR="000C7BB3" w:rsidRDefault="000C7BB3" w:rsidP="000C7BB3">
                          <w:pPr>
                            <w:spacing w:after="0" w:line="240" w:lineRule="auto"/>
                            <w:jc w:val="right"/>
                            <w:textDirection w:val="btLr"/>
                          </w:pPr>
                          <w:r>
                            <w:rPr>
                              <w:rFonts w:ascii="Cambria" w:eastAsia="Cambria" w:hAnsi="Cambria" w:cs="Cambria"/>
                              <w:color w:val="000000"/>
                            </w:rPr>
                            <w:t>Prefix doi.org/10.3783/causa.v2i9.2461</w:t>
                          </w:r>
                        </w:p>
                        <w:p w14:paraId="325D2437" w14:textId="77777777" w:rsidR="000C7BB3" w:rsidRDefault="000C7BB3" w:rsidP="000C7BB3">
                          <w:pPr>
                            <w:spacing w:after="0" w:line="240" w:lineRule="auto"/>
                            <w:jc w:val="right"/>
                            <w:textDirection w:val="btLr"/>
                          </w:pPr>
                        </w:p>
                      </w:txbxContent>
                    </wps:txbx>
                    <wps:bodyPr spcFirstLastPara="1" wrap="square" lIns="0" tIns="0" rIns="0" bIns="0" anchor="t" anchorCtr="0">
                      <a:noAutofit/>
                    </wps:bodyPr>
                  </wps:wsp>
                </a:graphicData>
              </a:graphic>
            </wp:anchor>
          </w:drawing>
        </mc:Choice>
        <mc:Fallback>
          <w:pict>
            <v:rect w14:anchorId="242E08BB" id="Persegi Panjang 2" o:spid="_x0000_s1026" style="position:absolute;margin-left:198.8pt;margin-top:28.4pt;width:250pt;height:62.1pt;z-index:-251657216;visibility:visible;mso-wrap-style:square;mso-wrap-distance-left:0;mso-wrap-distance-top:0;mso-wrap-distance-right:0;mso-wrap-distance-bottom:0;mso-position-horizontal:right;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" filled="f" stroked="f">
              <v:textbox inset="0,0,0,0">
                <w:txbxContent>
                  <w:p w14:paraId="310D5F1F" w14:textId="77777777" w:rsidR="000C7BB3" w:rsidRPr="00480060" w:rsidRDefault="000C7BB3" w:rsidP="000C7BB3">
                    <w:pPr>
                      <w:spacing w:after="0" w:line="240" w:lineRule="auto"/>
                      <w:jc w:val="right"/>
                      <w:textDirection w:val="btLr"/>
                      <w:rPr>
                        <w:lang w:val="nl-NL"/>
                      </w:rPr>
                    </w:pPr>
                    <w:r w:rsidRPr="00480060">
                      <w:rPr>
                        <w:rFonts w:ascii="Cambria" w:eastAsia="Cambria" w:hAnsi="Cambria" w:cs="Cambria"/>
                        <w:color w:val="000000"/>
                        <w:lang w:val="nl-NL"/>
                      </w:rPr>
                      <w:t>Jurnal Hukum dan Kewarganegaraan</w:t>
                    </w:r>
                  </w:p>
                  <w:p w14:paraId="6906E76D" w14:textId="77777777" w:rsidR="000C7BB3" w:rsidRPr="00480060" w:rsidRDefault="000C7BB3" w:rsidP="000C7BB3">
                    <w:pPr>
                      <w:spacing w:after="0" w:line="240" w:lineRule="auto"/>
                      <w:jc w:val="right"/>
                      <w:textDirection w:val="btLr"/>
                      <w:rPr>
                        <w:lang w:val="nl-NL"/>
                      </w:rPr>
                    </w:pPr>
                    <w:r w:rsidRPr="00480060">
                      <w:rPr>
                        <w:rFonts w:ascii="Cambria" w:eastAsia="Cambria" w:hAnsi="Cambria" w:cs="Cambria"/>
                        <w:color w:val="000000"/>
                        <w:lang w:val="nl-NL"/>
                      </w:rPr>
                      <w:t>Vol 15 No11 Tahun 2025</w:t>
                    </w:r>
                  </w:p>
                  <w:p w14:paraId="48E91F28" w14:textId="77777777" w:rsidR="000C7BB3" w:rsidRDefault="000C7BB3" w:rsidP="000C7BB3">
                    <w:pPr>
                      <w:spacing w:after="0" w:line="240" w:lineRule="auto"/>
                      <w:jc w:val="right"/>
                      <w:textDirection w:val="btLr"/>
                    </w:pPr>
                    <w:r>
                      <w:rPr>
                        <w:rFonts w:ascii="Cambria" w:eastAsia="Cambria" w:hAnsi="Cambria" w:cs="Cambria"/>
                        <w:color w:val="000000"/>
                      </w:rPr>
                      <w:t>Prefix doi.org/10.3783/</w:t>
                    </w:r>
                    <w:proofErr w:type="gramStart"/>
                    <w:r>
                      <w:rPr>
                        <w:rFonts w:ascii="Cambria" w:eastAsia="Cambria" w:hAnsi="Cambria" w:cs="Cambria"/>
                        <w:color w:val="000000"/>
                      </w:rPr>
                      <w:t>causa.v</w:t>
                    </w:r>
                    <w:proofErr w:type="gramEnd"/>
                    <w:r>
                      <w:rPr>
                        <w:rFonts w:ascii="Cambria" w:eastAsia="Cambria" w:hAnsi="Cambria" w:cs="Cambria"/>
                        <w:color w:val="000000"/>
                      </w:rPr>
                      <w:t>2i9.2461</w:t>
                    </w:r>
                  </w:p>
                  <w:p w14:paraId="325D2437" w14:textId="77777777" w:rsidR="000C7BB3" w:rsidRDefault="000C7BB3" w:rsidP="000C7BB3">
                    <w:pPr>
                      <w:spacing w:after="0" w:line="240" w:lineRule="auto"/>
                      <w:jc w:val="right"/>
                      <w:textDirection w:val="btLr"/>
                    </w:pPr>
                  </w:p>
                </w:txbxContent>
              </v:textbox>
              <w10:wrap anchorx="margin" anchory="margin"/>
            </v:rect>
          </w:pict>
        </mc:Fallback>
      </mc:AlternateContent>
    </w:r>
    <w:r>
      <w:rPr>
        <w:noProof/>
        <w:color w:val="000000"/>
      </w:rPr>
      <mc:AlternateContent>
        <mc:Choice Requires="wps">
          <w:drawing>
            <wp:anchor distT="0" distB="0" distL="0" distR="0" simplePos="0" relativeHeight="251658241" behindDoc="1" locked="0" layoutInCell="1" hidden="0" allowOverlap="1" wp14:anchorId="63C86404" wp14:editId="19B1E484">
              <wp:simplePos x="0" y="0"/>
              <wp:positionH relativeFrom="margin">
                <wp:align>left</wp:align>
              </wp:positionH>
              <wp:positionV relativeFrom="page">
                <wp:posOffset>262890</wp:posOffset>
              </wp:positionV>
              <wp:extent cx="1558290" cy="590550"/>
              <wp:effectExtent l="0" t="0" r="3810" b="0"/>
              <wp:wrapNone/>
              <wp:docPr id="4" name="Persegi Panjang 4"/>
              <wp:cNvGraphicFramePr/>
              <a:graphic xmlns:a="http://schemas.openxmlformats.org/drawingml/2006/main">
                <a:graphicData uri="http://schemas.microsoft.com/office/word/2010/wordprocessingShape">
                  <wps:wsp>
                    <wps:cNvSpPr/>
                    <wps:spPr>
                      <a:xfrm>
                        <a:off x="0" y="0"/>
                        <a:ext cx="1558290" cy="590550"/>
                      </a:xfrm>
                      <a:prstGeom prst="rect">
                        <a:avLst/>
                      </a:prstGeom>
                      <a:noFill/>
                      <a:ln>
                        <a:noFill/>
                      </a:ln>
                    </wps:spPr>
                    <wps:txbx>
                      <w:txbxContent>
                        <w:p w14:paraId="3979FC90" w14:textId="77777777" w:rsidR="000C7BB3" w:rsidRDefault="000C7BB3" w:rsidP="000C7BB3">
                          <w:pPr>
                            <w:spacing w:line="275" w:lineRule="auto"/>
                            <w:ind w:left="5" w:firstLine="17"/>
                            <w:textDirection w:val="btLr"/>
                          </w:pPr>
                          <w:r>
                            <w:rPr>
                              <w:rFonts w:ascii="Trebuchet MS" w:eastAsia="Trebuchet MS" w:hAnsi="Trebuchet MS" w:cs="Trebuchet MS"/>
                              <w:color w:val="000000"/>
                              <w:sz w:val="72"/>
                            </w:rPr>
                            <w:t>CAUSA</w:t>
                          </w:r>
                        </w:p>
                        <w:p w14:paraId="17DAF463" w14:textId="77777777" w:rsidR="000C7BB3" w:rsidRDefault="000C7BB3" w:rsidP="000C7BB3"/>
                      </w:txbxContent>
                    </wps:txbx>
                    <wps:bodyPr spcFirstLastPara="1" wrap="square" lIns="0" tIns="0" rIns="0" bIns="0" anchor="t" anchorCtr="0">
                      <a:noAutofit/>
                    </wps:bodyPr>
                  </wps:wsp>
                </a:graphicData>
              </a:graphic>
            </wp:anchor>
          </w:drawing>
        </mc:Choice>
        <mc:Fallback>
          <w:pict>
            <v:rect w14:anchorId="63C86404" id="Persegi Panjang 4" o:spid="_x0000_s1027" style="position:absolute;margin-left:0;margin-top:20.7pt;width:122.7pt;height:46.5pt;z-index:-251656192;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" filled="f" stroked="f">
              <v:textbox inset="0,0,0,0">
                <w:txbxContent>
                  <w:p w14:paraId="3979FC90" w14:textId="77777777" w:rsidR="000C7BB3" w:rsidRDefault="000C7BB3" w:rsidP="000C7BB3">
                    <w:pPr>
                      <w:spacing w:line="275" w:lineRule="auto"/>
                      <w:ind w:left="5" w:firstLine="17"/>
                      <w:textDirection w:val="btLr"/>
                    </w:pPr>
                    <w:r>
                      <w:rPr>
                        <w:rFonts w:ascii="Trebuchet MS" w:eastAsia="Trebuchet MS" w:hAnsi="Trebuchet MS" w:cs="Trebuchet MS"/>
                        <w:color w:val="000000"/>
                        <w:sz w:val="72"/>
                      </w:rPr>
                      <w:t>CAUSA</w:t>
                    </w:r>
                  </w:p>
                  <w:p w14:paraId="17DAF463" w14:textId="77777777" w:rsidR="000C7BB3" w:rsidRDefault="000C7BB3" w:rsidP="000C7BB3"/>
                </w:txbxContent>
              </v:textbox>
              <w10:wrap anchorx="margin" anchory="page"/>
            </v:rect>
          </w:pict>
        </mc:Fallback>
      </mc:AlternateContent>
    </w:r>
  </w:p>
  <w:p w14:paraId="698CEF2F" w14:textId="77777777" w:rsidR="000C7BB3" w:rsidRPr="004B3FD7" w:rsidRDefault="000C7BB3" w:rsidP="000C7BB3">
    <w:pPr>
      <w:pStyle w:val="Header"/>
    </w:pPr>
    <w:r>
      <w:rPr>
        <w:noProof/>
        <w:color w:val="000000"/>
      </w:rPr>
      <mc:AlternateContent>
        <mc:Choice Requires="wps">
          <w:drawing>
            <wp:anchor distT="0" distB="0" distL="0" distR="0" simplePos="0" relativeHeight="251658242" behindDoc="1" locked="0" layoutInCell="1" hidden="0" allowOverlap="1" wp14:anchorId="5898677B" wp14:editId="69C6B71E">
              <wp:simplePos x="0" y="0"/>
              <wp:positionH relativeFrom="margin">
                <wp:posOffset>53340</wp:posOffset>
              </wp:positionH>
              <wp:positionV relativeFrom="topMargin">
                <wp:posOffset>767080</wp:posOffset>
              </wp:positionV>
              <wp:extent cx="2273935" cy="301625"/>
              <wp:effectExtent l="0" t="0" r="12065" b="3175"/>
              <wp:wrapNone/>
              <wp:docPr id="1" name="Persegi Panjang 1"/>
              <wp:cNvGraphicFramePr/>
              <a:graphic xmlns:a="http://schemas.openxmlformats.org/drawingml/2006/main">
                <a:graphicData uri="http://schemas.microsoft.com/office/word/2010/wordprocessingShape">
                  <wps:wsp>
                    <wps:cNvSpPr/>
                    <wps:spPr>
                      <a:xfrm>
                        <a:off x="0" y="0"/>
                        <a:ext cx="2273935" cy="301625"/>
                      </a:xfrm>
                      <a:prstGeom prst="rect">
                        <a:avLst/>
                      </a:prstGeom>
                      <a:noFill/>
                      <a:ln>
                        <a:noFill/>
                      </a:ln>
                    </wps:spPr>
                    <wps:txbx>
                      <w:txbxContent>
                        <w:p w14:paraId="765CE6E9" w14:textId="77777777" w:rsidR="000C7BB3" w:rsidRDefault="000C7BB3" w:rsidP="000C7BB3">
                          <w:pPr>
                            <w:spacing w:before="20" w:line="275" w:lineRule="auto"/>
                            <w:ind w:hanging="2"/>
                            <w:textDirection w:val="btLr"/>
                          </w:pPr>
                          <w:r>
                            <w:rPr>
                              <w:rFonts w:ascii="Cambria" w:eastAsia="Cambria" w:hAnsi="Cambria" w:cs="Cambria"/>
                              <w:color w:val="000000"/>
                            </w:rPr>
                            <w:t>ISSN 3031-0369</w:t>
                          </w:r>
                        </w:p>
                      </w:txbxContent>
                    </wps:txbx>
                    <wps:bodyPr spcFirstLastPara="1" wrap="square" lIns="0" tIns="0" rIns="0" bIns="0" anchor="t" anchorCtr="0">
                      <a:noAutofit/>
                    </wps:bodyPr>
                  </wps:wsp>
                </a:graphicData>
              </a:graphic>
            </wp:anchor>
          </w:drawing>
        </mc:Choice>
        <mc:Fallback>
          <w:pict>
            <v:rect w14:anchorId="5898677B" id="Persegi Panjang 1" o:spid="_x0000_s1028" style="position:absolute;margin-left:4.2pt;margin-top:60.4pt;width:179.05pt;height:23.75pt;z-index:-251655168;visibility:visible;mso-wrap-style:square;mso-wrap-distance-left:0;mso-wrap-distance-top:0;mso-wrap-distance-right:0;mso-wrap-distance-bottom:0;mso-position-horizontal:absolute;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" filled="f" stroked="f">
              <v:textbox inset="0,0,0,0">
                <w:txbxContent>
                  <w:p w14:paraId="765CE6E9" w14:textId="77777777" w:rsidR="000C7BB3" w:rsidRDefault="000C7BB3" w:rsidP="000C7BB3">
                    <w:pPr>
                      <w:spacing w:before="20" w:line="275" w:lineRule="auto"/>
                      <w:ind w:hanging="2"/>
                      <w:textDirection w:val="btLr"/>
                    </w:pPr>
                    <w:r>
                      <w:rPr>
                        <w:rFonts w:ascii="Cambria" w:eastAsia="Cambria" w:hAnsi="Cambria" w:cs="Cambria"/>
                        <w:color w:val="000000"/>
                      </w:rPr>
                      <w:t>ISSN 3031-0369</w:t>
                    </w:r>
                  </w:p>
                </w:txbxContent>
              </v:textbox>
              <w10:wrap anchorx="margin" anchory="margin"/>
            </v:rect>
          </w:pict>
        </mc:Fallback>
      </mc:AlternateContent>
    </w:r>
  </w:p>
  <w:p w14:paraId="5EC0C40D" w14:textId="77777777" w:rsidR="000C7BB3" w:rsidRDefault="000C7BB3" w:rsidP="000C7BB3">
    <w:pPr>
      <w:pStyle w:val="Header"/>
    </w:pPr>
  </w:p>
  <w:p w14:paraId="1CB57882" w14:textId="77777777" w:rsidR="000E7A06" w:rsidRDefault="000E7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3199"/>
    <w:multiLevelType w:val="hybridMultilevel"/>
    <w:tmpl w:val="E002459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FC0A50"/>
    <w:multiLevelType w:val="hybridMultilevel"/>
    <w:tmpl w:val="11CAD1B4"/>
    <w:lvl w:ilvl="0" w:tplc="6D7EFC62">
      <w:start w:val="1"/>
      <w:numFmt w:val="lowerLetter"/>
      <w:lvlText w:val="%1."/>
      <w:lvlJc w:val="left"/>
      <w:pPr>
        <w:ind w:left="1854" w:hanging="360"/>
      </w:pPr>
      <w:rPr>
        <w:i w:val="0"/>
        <w:i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 w15:restartNumberingAfterBreak="0">
    <w:nsid w:val="30722F78"/>
    <w:multiLevelType w:val="hybridMultilevel"/>
    <w:tmpl w:val="B2169062"/>
    <w:lvl w:ilvl="0" w:tplc="3809000F">
      <w:start w:val="1"/>
      <w:numFmt w:val="decimal"/>
      <w:lvlText w:val="%1."/>
      <w:lvlJc w:val="left"/>
      <w:pPr>
        <w:ind w:left="700" w:hanging="360"/>
      </w:p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3" w15:restartNumberingAfterBreak="0">
    <w:nsid w:val="469457B2"/>
    <w:multiLevelType w:val="hybridMultilevel"/>
    <w:tmpl w:val="D8A0EE5E"/>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 w15:restartNumberingAfterBreak="0">
    <w:nsid w:val="4DD828DC"/>
    <w:multiLevelType w:val="hybridMultilevel"/>
    <w:tmpl w:val="8F4CEF0C"/>
    <w:lvl w:ilvl="0" w:tplc="38090019">
      <w:start w:val="1"/>
      <w:numFmt w:val="lowerLetter"/>
      <w:lvlText w:val="%1."/>
      <w:lvlJc w:val="left"/>
      <w:pPr>
        <w:ind w:left="820" w:hanging="360"/>
      </w:p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5" w15:restartNumberingAfterBreak="0">
    <w:nsid w:val="50120ABC"/>
    <w:multiLevelType w:val="hybridMultilevel"/>
    <w:tmpl w:val="F89ACF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5240BC4"/>
    <w:multiLevelType w:val="hybridMultilevel"/>
    <w:tmpl w:val="D12616C8"/>
    <w:lvl w:ilvl="0" w:tplc="38090019">
      <w:start w:val="1"/>
      <w:numFmt w:val="lowerLetter"/>
      <w:lvlText w:val="%1."/>
      <w:lvlJc w:val="left"/>
      <w:pPr>
        <w:ind w:left="720" w:hanging="360"/>
      </w:pPr>
    </w:lvl>
    <w:lvl w:ilvl="1" w:tplc="38090011">
      <w:start w:val="1"/>
      <w:numFmt w:val="decimal"/>
      <w:lvlText w:val="%2)"/>
      <w:lvlJc w:val="left"/>
      <w:pPr>
        <w:ind w:left="1440" w:hanging="360"/>
      </w:pPr>
    </w:lvl>
    <w:lvl w:ilvl="2" w:tplc="38090017">
      <w:start w:val="1"/>
      <w:numFmt w:val="lowerLetter"/>
      <w:lvlText w:val="%3)"/>
      <w:lvlJc w:val="left"/>
      <w:pPr>
        <w:ind w:left="2340"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F963B69"/>
    <w:multiLevelType w:val="hybridMultilevel"/>
    <w:tmpl w:val="AF4A18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69941AE"/>
    <w:multiLevelType w:val="hybridMultilevel"/>
    <w:tmpl w:val="92CC16EC"/>
    <w:lvl w:ilvl="0" w:tplc="E168DAE4">
      <w:start w:val="1"/>
      <w:numFmt w:val="upperLetter"/>
      <w:lvlText w:val="%1."/>
      <w:lvlJc w:val="left"/>
      <w:pPr>
        <w:ind w:left="700" w:hanging="360"/>
      </w:pPr>
      <w:rPr>
        <w:b/>
        <w:bCs w:val="0"/>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9" w15:restartNumberingAfterBreak="0">
    <w:nsid w:val="68E431C3"/>
    <w:multiLevelType w:val="hybridMultilevel"/>
    <w:tmpl w:val="A192F15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30F5A9B"/>
    <w:multiLevelType w:val="hybridMultilevel"/>
    <w:tmpl w:val="5E2408AC"/>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 w15:restartNumberingAfterBreak="0">
    <w:nsid w:val="7F470BE6"/>
    <w:multiLevelType w:val="hybridMultilevel"/>
    <w:tmpl w:val="596626E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70885244">
    <w:abstractNumId w:val="7"/>
  </w:num>
  <w:num w:numId="2" w16cid:durableId="1650472446">
    <w:abstractNumId w:val="1"/>
  </w:num>
  <w:num w:numId="3" w16cid:durableId="340855124">
    <w:abstractNumId w:val="3"/>
  </w:num>
  <w:num w:numId="4" w16cid:durableId="1023554124">
    <w:abstractNumId w:val="10"/>
  </w:num>
  <w:num w:numId="5" w16cid:durableId="1310288241">
    <w:abstractNumId w:val="9"/>
  </w:num>
  <w:num w:numId="6" w16cid:durableId="309751085">
    <w:abstractNumId w:val="0"/>
  </w:num>
  <w:num w:numId="7" w16cid:durableId="434326197">
    <w:abstractNumId w:val="5"/>
  </w:num>
  <w:num w:numId="8" w16cid:durableId="1600406904">
    <w:abstractNumId w:val="6"/>
  </w:num>
  <w:num w:numId="9" w16cid:durableId="231545665">
    <w:abstractNumId w:val="4"/>
  </w:num>
  <w:num w:numId="10" w16cid:durableId="781219931">
    <w:abstractNumId w:val="11"/>
  </w:num>
  <w:num w:numId="11" w16cid:durableId="289941835">
    <w:abstractNumId w:val="8"/>
  </w:num>
  <w:num w:numId="12" w16cid:durableId="997994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1B"/>
    <w:rsid w:val="0000029D"/>
    <w:rsid w:val="000048E0"/>
    <w:rsid w:val="00005ACF"/>
    <w:rsid w:val="0001081B"/>
    <w:rsid w:val="00015726"/>
    <w:rsid w:val="00015CDB"/>
    <w:rsid w:val="00015FEF"/>
    <w:rsid w:val="000227A1"/>
    <w:rsid w:val="000229C0"/>
    <w:rsid w:val="0002358F"/>
    <w:rsid w:val="00023DD7"/>
    <w:rsid w:val="0002478B"/>
    <w:rsid w:val="000379A7"/>
    <w:rsid w:val="000470BD"/>
    <w:rsid w:val="00054EBD"/>
    <w:rsid w:val="00056723"/>
    <w:rsid w:val="000759CD"/>
    <w:rsid w:val="00075F3C"/>
    <w:rsid w:val="0008008E"/>
    <w:rsid w:val="00083A37"/>
    <w:rsid w:val="00083FDE"/>
    <w:rsid w:val="00095B84"/>
    <w:rsid w:val="00097AB1"/>
    <w:rsid w:val="000A0AC0"/>
    <w:rsid w:val="000A2F38"/>
    <w:rsid w:val="000A62E7"/>
    <w:rsid w:val="000B1D98"/>
    <w:rsid w:val="000B25F9"/>
    <w:rsid w:val="000B3AB1"/>
    <w:rsid w:val="000C2BFC"/>
    <w:rsid w:val="000C4156"/>
    <w:rsid w:val="000C617D"/>
    <w:rsid w:val="000C7BB3"/>
    <w:rsid w:val="000C7E22"/>
    <w:rsid w:val="000D114D"/>
    <w:rsid w:val="000D3595"/>
    <w:rsid w:val="000D5315"/>
    <w:rsid w:val="000E08DB"/>
    <w:rsid w:val="000E136C"/>
    <w:rsid w:val="000E3AE3"/>
    <w:rsid w:val="000E6F75"/>
    <w:rsid w:val="000E6FAC"/>
    <w:rsid w:val="000E7A06"/>
    <w:rsid w:val="000F3185"/>
    <w:rsid w:val="000F3931"/>
    <w:rsid w:val="000F4C40"/>
    <w:rsid w:val="00103DFE"/>
    <w:rsid w:val="00107218"/>
    <w:rsid w:val="00107EA0"/>
    <w:rsid w:val="001113F6"/>
    <w:rsid w:val="00111424"/>
    <w:rsid w:val="001124BF"/>
    <w:rsid w:val="0011623A"/>
    <w:rsid w:val="00122FCB"/>
    <w:rsid w:val="00125EFD"/>
    <w:rsid w:val="001266A0"/>
    <w:rsid w:val="00131C9D"/>
    <w:rsid w:val="001362AB"/>
    <w:rsid w:val="00140ABC"/>
    <w:rsid w:val="00142E96"/>
    <w:rsid w:val="0014414D"/>
    <w:rsid w:val="00144B45"/>
    <w:rsid w:val="00150C2E"/>
    <w:rsid w:val="00152FA0"/>
    <w:rsid w:val="00153D24"/>
    <w:rsid w:val="00155CF6"/>
    <w:rsid w:val="00163E90"/>
    <w:rsid w:val="001642FE"/>
    <w:rsid w:val="00173106"/>
    <w:rsid w:val="0017343D"/>
    <w:rsid w:val="00176910"/>
    <w:rsid w:val="00177B52"/>
    <w:rsid w:val="00180D6F"/>
    <w:rsid w:val="001827C9"/>
    <w:rsid w:val="00191A9C"/>
    <w:rsid w:val="00197B80"/>
    <w:rsid w:val="001A0B42"/>
    <w:rsid w:val="001A2595"/>
    <w:rsid w:val="001B45FA"/>
    <w:rsid w:val="001B5C26"/>
    <w:rsid w:val="001C231C"/>
    <w:rsid w:val="001C2E54"/>
    <w:rsid w:val="001C485A"/>
    <w:rsid w:val="001C4A9A"/>
    <w:rsid w:val="001C5FC7"/>
    <w:rsid w:val="001C777B"/>
    <w:rsid w:val="001C7FEE"/>
    <w:rsid w:val="001D0B27"/>
    <w:rsid w:val="001D2B1B"/>
    <w:rsid w:val="001D5009"/>
    <w:rsid w:val="001D661A"/>
    <w:rsid w:val="001E17B8"/>
    <w:rsid w:val="001E79B2"/>
    <w:rsid w:val="001F1631"/>
    <w:rsid w:val="001F1F2F"/>
    <w:rsid w:val="001F750E"/>
    <w:rsid w:val="00217314"/>
    <w:rsid w:val="002174DE"/>
    <w:rsid w:val="00221984"/>
    <w:rsid w:val="0022287F"/>
    <w:rsid w:val="00226174"/>
    <w:rsid w:val="002320C2"/>
    <w:rsid w:val="002326D7"/>
    <w:rsid w:val="00233796"/>
    <w:rsid w:val="00236C90"/>
    <w:rsid w:val="00242C28"/>
    <w:rsid w:val="00245CB3"/>
    <w:rsid w:val="00255466"/>
    <w:rsid w:val="002609A2"/>
    <w:rsid w:val="00272736"/>
    <w:rsid w:val="0027276B"/>
    <w:rsid w:val="00274366"/>
    <w:rsid w:val="00274CB0"/>
    <w:rsid w:val="0027617C"/>
    <w:rsid w:val="00276D84"/>
    <w:rsid w:val="002823F3"/>
    <w:rsid w:val="002859F4"/>
    <w:rsid w:val="00291266"/>
    <w:rsid w:val="00292465"/>
    <w:rsid w:val="00293739"/>
    <w:rsid w:val="00294A25"/>
    <w:rsid w:val="002A4A7D"/>
    <w:rsid w:val="002A6517"/>
    <w:rsid w:val="002A66B8"/>
    <w:rsid w:val="002A7CD1"/>
    <w:rsid w:val="002B023D"/>
    <w:rsid w:val="002B10A8"/>
    <w:rsid w:val="002B3B86"/>
    <w:rsid w:val="002B697E"/>
    <w:rsid w:val="002C7EE3"/>
    <w:rsid w:val="002D019E"/>
    <w:rsid w:val="002D050A"/>
    <w:rsid w:val="002D42DF"/>
    <w:rsid w:val="002D75DD"/>
    <w:rsid w:val="002E012B"/>
    <w:rsid w:val="002F0E4D"/>
    <w:rsid w:val="00302873"/>
    <w:rsid w:val="003032A6"/>
    <w:rsid w:val="003050E1"/>
    <w:rsid w:val="003053C3"/>
    <w:rsid w:val="003062F4"/>
    <w:rsid w:val="003069F8"/>
    <w:rsid w:val="0031028F"/>
    <w:rsid w:val="0031115E"/>
    <w:rsid w:val="0031260A"/>
    <w:rsid w:val="00312873"/>
    <w:rsid w:val="003132DE"/>
    <w:rsid w:val="00317756"/>
    <w:rsid w:val="003207E1"/>
    <w:rsid w:val="003218C0"/>
    <w:rsid w:val="00330CBE"/>
    <w:rsid w:val="00332D64"/>
    <w:rsid w:val="00334FCD"/>
    <w:rsid w:val="00336372"/>
    <w:rsid w:val="003370C1"/>
    <w:rsid w:val="00340919"/>
    <w:rsid w:val="00345703"/>
    <w:rsid w:val="00350ADC"/>
    <w:rsid w:val="0035488D"/>
    <w:rsid w:val="003561B7"/>
    <w:rsid w:val="00360C21"/>
    <w:rsid w:val="0036700B"/>
    <w:rsid w:val="00367B72"/>
    <w:rsid w:val="00370178"/>
    <w:rsid w:val="00377451"/>
    <w:rsid w:val="0038561C"/>
    <w:rsid w:val="00390FAF"/>
    <w:rsid w:val="003A2910"/>
    <w:rsid w:val="003B7F71"/>
    <w:rsid w:val="003C5C20"/>
    <w:rsid w:val="003C7ED8"/>
    <w:rsid w:val="003D5F88"/>
    <w:rsid w:val="003E051F"/>
    <w:rsid w:val="003E43A3"/>
    <w:rsid w:val="003E4671"/>
    <w:rsid w:val="003F1D60"/>
    <w:rsid w:val="003F42E3"/>
    <w:rsid w:val="003F476A"/>
    <w:rsid w:val="003F5B47"/>
    <w:rsid w:val="004013FC"/>
    <w:rsid w:val="00406929"/>
    <w:rsid w:val="00407034"/>
    <w:rsid w:val="004124FB"/>
    <w:rsid w:val="00422200"/>
    <w:rsid w:val="00424682"/>
    <w:rsid w:val="0043319B"/>
    <w:rsid w:val="00433A32"/>
    <w:rsid w:val="00435EF0"/>
    <w:rsid w:val="004435C9"/>
    <w:rsid w:val="00444019"/>
    <w:rsid w:val="0044494B"/>
    <w:rsid w:val="004453E0"/>
    <w:rsid w:val="00451DA1"/>
    <w:rsid w:val="0045618F"/>
    <w:rsid w:val="00456E5B"/>
    <w:rsid w:val="0045726F"/>
    <w:rsid w:val="0045756D"/>
    <w:rsid w:val="00460993"/>
    <w:rsid w:val="00464763"/>
    <w:rsid w:val="00464A45"/>
    <w:rsid w:val="0047099D"/>
    <w:rsid w:val="004740CE"/>
    <w:rsid w:val="004742C9"/>
    <w:rsid w:val="004769DE"/>
    <w:rsid w:val="00480F93"/>
    <w:rsid w:val="004813F6"/>
    <w:rsid w:val="00491A35"/>
    <w:rsid w:val="004968EC"/>
    <w:rsid w:val="004A4442"/>
    <w:rsid w:val="004A6A48"/>
    <w:rsid w:val="004A7A6E"/>
    <w:rsid w:val="004B69A5"/>
    <w:rsid w:val="004C001D"/>
    <w:rsid w:val="004C4014"/>
    <w:rsid w:val="004C5732"/>
    <w:rsid w:val="004C74EE"/>
    <w:rsid w:val="004D1FF8"/>
    <w:rsid w:val="004D2A6B"/>
    <w:rsid w:val="004D3A61"/>
    <w:rsid w:val="004D5B80"/>
    <w:rsid w:val="004D606C"/>
    <w:rsid w:val="004E46A9"/>
    <w:rsid w:val="004E52B2"/>
    <w:rsid w:val="004F34AA"/>
    <w:rsid w:val="005017A1"/>
    <w:rsid w:val="00504BA6"/>
    <w:rsid w:val="005101AF"/>
    <w:rsid w:val="005203C5"/>
    <w:rsid w:val="005216FD"/>
    <w:rsid w:val="00525516"/>
    <w:rsid w:val="0052772A"/>
    <w:rsid w:val="0053036D"/>
    <w:rsid w:val="00530C61"/>
    <w:rsid w:val="00534696"/>
    <w:rsid w:val="00535DCC"/>
    <w:rsid w:val="00537EF1"/>
    <w:rsid w:val="005406CC"/>
    <w:rsid w:val="00542504"/>
    <w:rsid w:val="00542ACA"/>
    <w:rsid w:val="005465A7"/>
    <w:rsid w:val="005475DE"/>
    <w:rsid w:val="005524DC"/>
    <w:rsid w:val="00555177"/>
    <w:rsid w:val="0056070F"/>
    <w:rsid w:val="005614E6"/>
    <w:rsid w:val="00562EBD"/>
    <w:rsid w:val="005639BD"/>
    <w:rsid w:val="0056492F"/>
    <w:rsid w:val="00564E0F"/>
    <w:rsid w:val="00567954"/>
    <w:rsid w:val="00567D24"/>
    <w:rsid w:val="005742C1"/>
    <w:rsid w:val="00576A87"/>
    <w:rsid w:val="005847E2"/>
    <w:rsid w:val="00585C53"/>
    <w:rsid w:val="00586145"/>
    <w:rsid w:val="0058765E"/>
    <w:rsid w:val="0059100E"/>
    <w:rsid w:val="00592751"/>
    <w:rsid w:val="005934B7"/>
    <w:rsid w:val="00593912"/>
    <w:rsid w:val="00595225"/>
    <w:rsid w:val="005A3788"/>
    <w:rsid w:val="005B375F"/>
    <w:rsid w:val="005B4BA7"/>
    <w:rsid w:val="005B5874"/>
    <w:rsid w:val="005C12EF"/>
    <w:rsid w:val="005D2C54"/>
    <w:rsid w:val="005D7268"/>
    <w:rsid w:val="005D7510"/>
    <w:rsid w:val="005E58ED"/>
    <w:rsid w:val="005E7B35"/>
    <w:rsid w:val="005F261D"/>
    <w:rsid w:val="005F6647"/>
    <w:rsid w:val="005F7A11"/>
    <w:rsid w:val="00605ACF"/>
    <w:rsid w:val="0060640F"/>
    <w:rsid w:val="00610017"/>
    <w:rsid w:val="00612E16"/>
    <w:rsid w:val="00612F6D"/>
    <w:rsid w:val="00614042"/>
    <w:rsid w:val="006144B6"/>
    <w:rsid w:val="00624D0D"/>
    <w:rsid w:val="00630B7F"/>
    <w:rsid w:val="00631B55"/>
    <w:rsid w:val="006343BD"/>
    <w:rsid w:val="006374F9"/>
    <w:rsid w:val="0064253D"/>
    <w:rsid w:val="00644D0C"/>
    <w:rsid w:val="00645879"/>
    <w:rsid w:val="00645B3B"/>
    <w:rsid w:val="006477BF"/>
    <w:rsid w:val="00647E28"/>
    <w:rsid w:val="0065142B"/>
    <w:rsid w:val="0065714C"/>
    <w:rsid w:val="0066198E"/>
    <w:rsid w:val="00665575"/>
    <w:rsid w:val="00666EA1"/>
    <w:rsid w:val="00670AF8"/>
    <w:rsid w:val="00670FDC"/>
    <w:rsid w:val="00671C71"/>
    <w:rsid w:val="00675099"/>
    <w:rsid w:val="00680DE6"/>
    <w:rsid w:val="006829CF"/>
    <w:rsid w:val="00682D86"/>
    <w:rsid w:val="00683240"/>
    <w:rsid w:val="00684262"/>
    <w:rsid w:val="0068488D"/>
    <w:rsid w:val="00686380"/>
    <w:rsid w:val="00694005"/>
    <w:rsid w:val="00694A3F"/>
    <w:rsid w:val="00694A45"/>
    <w:rsid w:val="006A31E1"/>
    <w:rsid w:val="006A6B78"/>
    <w:rsid w:val="006B3309"/>
    <w:rsid w:val="006B3DD2"/>
    <w:rsid w:val="006C0A3E"/>
    <w:rsid w:val="006D1223"/>
    <w:rsid w:val="006D3D17"/>
    <w:rsid w:val="006D5453"/>
    <w:rsid w:val="006E3264"/>
    <w:rsid w:val="006E372A"/>
    <w:rsid w:val="006E42E2"/>
    <w:rsid w:val="006E582E"/>
    <w:rsid w:val="006E6521"/>
    <w:rsid w:val="006E6C17"/>
    <w:rsid w:val="006F105C"/>
    <w:rsid w:val="006F2CC6"/>
    <w:rsid w:val="006F381C"/>
    <w:rsid w:val="006F4CC2"/>
    <w:rsid w:val="006F590F"/>
    <w:rsid w:val="006F63AA"/>
    <w:rsid w:val="006F6D8C"/>
    <w:rsid w:val="006F6FB7"/>
    <w:rsid w:val="006F7B04"/>
    <w:rsid w:val="006F7FE5"/>
    <w:rsid w:val="00702171"/>
    <w:rsid w:val="007035ED"/>
    <w:rsid w:val="00712B00"/>
    <w:rsid w:val="00717B72"/>
    <w:rsid w:val="00720C35"/>
    <w:rsid w:val="0073178C"/>
    <w:rsid w:val="00734145"/>
    <w:rsid w:val="00737281"/>
    <w:rsid w:val="00743C11"/>
    <w:rsid w:val="00744711"/>
    <w:rsid w:val="00745CD8"/>
    <w:rsid w:val="00746BA3"/>
    <w:rsid w:val="0075084D"/>
    <w:rsid w:val="00764242"/>
    <w:rsid w:val="007649D9"/>
    <w:rsid w:val="007665F5"/>
    <w:rsid w:val="00766AFA"/>
    <w:rsid w:val="00771D8B"/>
    <w:rsid w:val="007744AD"/>
    <w:rsid w:val="00774D09"/>
    <w:rsid w:val="007771BC"/>
    <w:rsid w:val="007779FF"/>
    <w:rsid w:val="00777ACF"/>
    <w:rsid w:val="00777F95"/>
    <w:rsid w:val="007807C5"/>
    <w:rsid w:val="00782438"/>
    <w:rsid w:val="007855BE"/>
    <w:rsid w:val="007877DD"/>
    <w:rsid w:val="007917EC"/>
    <w:rsid w:val="007A31A9"/>
    <w:rsid w:val="007A34AA"/>
    <w:rsid w:val="007A3AA8"/>
    <w:rsid w:val="007B08A4"/>
    <w:rsid w:val="007B22FC"/>
    <w:rsid w:val="007B27B4"/>
    <w:rsid w:val="007B6FFB"/>
    <w:rsid w:val="007C1555"/>
    <w:rsid w:val="007C3476"/>
    <w:rsid w:val="007D03D2"/>
    <w:rsid w:val="007D1969"/>
    <w:rsid w:val="007D3151"/>
    <w:rsid w:val="007D463A"/>
    <w:rsid w:val="007F36DA"/>
    <w:rsid w:val="007F4519"/>
    <w:rsid w:val="007F4B4B"/>
    <w:rsid w:val="007F5B74"/>
    <w:rsid w:val="007F7623"/>
    <w:rsid w:val="00804E3E"/>
    <w:rsid w:val="008125F9"/>
    <w:rsid w:val="0082475E"/>
    <w:rsid w:val="008332D5"/>
    <w:rsid w:val="008335AA"/>
    <w:rsid w:val="008351F3"/>
    <w:rsid w:val="00844393"/>
    <w:rsid w:val="00845876"/>
    <w:rsid w:val="0084693B"/>
    <w:rsid w:val="00854FF2"/>
    <w:rsid w:val="00861291"/>
    <w:rsid w:val="008624FF"/>
    <w:rsid w:val="00863621"/>
    <w:rsid w:val="008660AC"/>
    <w:rsid w:val="008702A3"/>
    <w:rsid w:val="00884DCD"/>
    <w:rsid w:val="00885058"/>
    <w:rsid w:val="00892912"/>
    <w:rsid w:val="008949CB"/>
    <w:rsid w:val="00897F1B"/>
    <w:rsid w:val="008A19FA"/>
    <w:rsid w:val="008B2A05"/>
    <w:rsid w:val="008B3B58"/>
    <w:rsid w:val="008C0CB8"/>
    <w:rsid w:val="008C2DAB"/>
    <w:rsid w:val="008C3CE8"/>
    <w:rsid w:val="008C438F"/>
    <w:rsid w:val="008C4E1F"/>
    <w:rsid w:val="008D2B95"/>
    <w:rsid w:val="008D5E43"/>
    <w:rsid w:val="008D5FDC"/>
    <w:rsid w:val="008E5731"/>
    <w:rsid w:val="008E7532"/>
    <w:rsid w:val="008F2BD7"/>
    <w:rsid w:val="008F3303"/>
    <w:rsid w:val="008F3FBE"/>
    <w:rsid w:val="008F4644"/>
    <w:rsid w:val="00910DCE"/>
    <w:rsid w:val="00912AB1"/>
    <w:rsid w:val="00914CAA"/>
    <w:rsid w:val="009174F3"/>
    <w:rsid w:val="00922DE1"/>
    <w:rsid w:val="00923931"/>
    <w:rsid w:val="009264E1"/>
    <w:rsid w:val="00930EC6"/>
    <w:rsid w:val="00944BA9"/>
    <w:rsid w:val="0095340E"/>
    <w:rsid w:val="009571CD"/>
    <w:rsid w:val="00957D71"/>
    <w:rsid w:val="00962312"/>
    <w:rsid w:val="00963821"/>
    <w:rsid w:val="00966604"/>
    <w:rsid w:val="00967FF1"/>
    <w:rsid w:val="009749C4"/>
    <w:rsid w:val="00977C38"/>
    <w:rsid w:val="0099202A"/>
    <w:rsid w:val="00995260"/>
    <w:rsid w:val="00997A2D"/>
    <w:rsid w:val="009A0542"/>
    <w:rsid w:val="009A5D7A"/>
    <w:rsid w:val="009A7034"/>
    <w:rsid w:val="009B0532"/>
    <w:rsid w:val="009B3ED8"/>
    <w:rsid w:val="009B435F"/>
    <w:rsid w:val="009B48CD"/>
    <w:rsid w:val="009B6DB6"/>
    <w:rsid w:val="009C0805"/>
    <w:rsid w:val="009C0A7E"/>
    <w:rsid w:val="009C1137"/>
    <w:rsid w:val="009C170F"/>
    <w:rsid w:val="009C582D"/>
    <w:rsid w:val="009C7167"/>
    <w:rsid w:val="009C728D"/>
    <w:rsid w:val="009C7EE2"/>
    <w:rsid w:val="009D1CE3"/>
    <w:rsid w:val="009D459B"/>
    <w:rsid w:val="009D7002"/>
    <w:rsid w:val="009D7196"/>
    <w:rsid w:val="009D7A7E"/>
    <w:rsid w:val="009E1C4D"/>
    <w:rsid w:val="009F2AA1"/>
    <w:rsid w:val="009F31C6"/>
    <w:rsid w:val="00A1060B"/>
    <w:rsid w:val="00A1562A"/>
    <w:rsid w:val="00A217F2"/>
    <w:rsid w:val="00A21DE6"/>
    <w:rsid w:val="00A32389"/>
    <w:rsid w:val="00A36831"/>
    <w:rsid w:val="00A36C39"/>
    <w:rsid w:val="00A425F2"/>
    <w:rsid w:val="00A508CD"/>
    <w:rsid w:val="00A51139"/>
    <w:rsid w:val="00A5122D"/>
    <w:rsid w:val="00A55892"/>
    <w:rsid w:val="00A63987"/>
    <w:rsid w:val="00A647CE"/>
    <w:rsid w:val="00A65F2D"/>
    <w:rsid w:val="00A731F6"/>
    <w:rsid w:val="00A73524"/>
    <w:rsid w:val="00A73731"/>
    <w:rsid w:val="00A77DDA"/>
    <w:rsid w:val="00A85333"/>
    <w:rsid w:val="00A85F72"/>
    <w:rsid w:val="00A92862"/>
    <w:rsid w:val="00A9300A"/>
    <w:rsid w:val="00A954B2"/>
    <w:rsid w:val="00A954F9"/>
    <w:rsid w:val="00AA0809"/>
    <w:rsid w:val="00AA38F2"/>
    <w:rsid w:val="00AA3D29"/>
    <w:rsid w:val="00AA44A7"/>
    <w:rsid w:val="00AA5487"/>
    <w:rsid w:val="00AA69D7"/>
    <w:rsid w:val="00AB5D7B"/>
    <w:rsid w:val="00AB756F"/>
    <w:rsid w:val="00AC00B3"/>
    <w:rsid w:val="00AC0376"/>
    <w:rsid w:val="00AC7005"/>
    <w:rsid w:val="00AD186E"/>
    <w:rsid w:val="00AD3771"/>
    <w:rsid w:val="00AD3D14"/>
    <w:rsid w:val="00AE0D87"/>
    <w:rsid w:val="00AE2352"/>
    <w:rsid w:val="00AE610E"/>
    <w:rsid w:val="00AE68F6"/>
    <w:rsid w:val="00AE7136"/>
    <w:rsid w:val="00AE7EDA"/>
    <w:rsid w:val="00AF3897"/>
    <w:rsid w:val="00AF6267"/>
    <w:rsid w:val="00B010B5"/>
    <w:rsid w:val="00B01BC4"/>
    <w:rsid w:val="00B02F35"/>
    <w:rsid w:val="00B049FF"/>
    <w:rsid w:val="00B0505B"/>
    <w:rsid w:val="00B2107F"/>
    <w:rsid w:val="00B24890"/>
    <w:rsid w:val="00B33DC4"/>
    <w:rsid w:val="00B340ED"/>
    <w:rsid w:val="00B34CE5"/>
    <w:rsid w:val="00B44155"/>
    <w:rsid w:val="00B55948"/>
    <w:rsid w:val="00B56CB0"/>
    <w:rsid w:val="00B57EA3"/>
    <w:rsid w:val="00B611E6"/>
    <w:rsid w:val="00B643E3"/>
    <w:rsid w:val="00B74743"/>
    <w:rsid w:val="00B75C4D"/>
    <w:rsid w:val="00B762A7"/>
    <w:rsid w:val="00B83C2B"/>
    <w:rsid w:val="00B869FC"/>
    <w:rsid w:val="00B86DB5"/>
    <w:rsid w:val="00B91B55"/>
    <w:rsid w:val="00BA0061"/>
    <w:rsid w:val="00BA077A"/>
    <w:rsid w:val="00BA3177"/>
    <w:rsid w:val="00BA62A6"/>
    <w:rsid w:val="00BB3C5D"/>
    <w:rsid w:val="00BC24C8"/>
    <w:rsid w:val="00BC66D6"/>
    <w:rsid w:val="00BD0B46"/>
    <w:rsid w:val="00BD37DA"/>
    <w:rsid w:val="00BD7C3B"/>
    <w:rsid w:val="00BE5C9C"/>
    <w:rsid w:val="00BF58C5"/>
    <w:rsid w:val="00C00214"/>
    <w:rsid w:val="00C01790"/>
    <w:rsid w:val="00C01AEE"/>
    <w:rsid w:val="00C21B55"/>
    <w:rsid w:val="00C21CAA"/>
    <w:rsid w:val="00C22550"/>
    <w:rsid w:val="00C279A6"/>
    <w:rsid w:val="00C30A24"/>
    <w:rsid w:val="00C32BF0"/>
    <w:rsid w:val="00C3311D"/>
    <w:rsid w:val="00C336CC"/>
    <w:rsid w:val="00C36009"/>
    <w:rsid w:val="00C376FB"/>
    <w:rsid w:val="00C41983"/>
    <w:rsid w:val="00C41EA3"/>
    <w:rsid w:val="00C41EED"/>
    <w:rsid w:val="00C439B5"/>
    <w:rsid w:val="00C53FCF"/>
    <w:rsid w:val="00C60A0A"/>
    <w:rsid w:val="00C61E94"/>
    <w:rsid w:val="00C80C70"/>
    <w:rsid w:val="00C812E4"/>
    <w:rsid w:val="00C84372"/>
    <w:rsid w:val="00C90DEF"/>
    <w:rsid w:val="00C95AAC"/>
    <w:rsid w:val="00C965CB"/>
    <w:rsid w:val="00C972ED"/>
    <w:rsid w:val="00CA0645"/>
    <w:rsid w:val="00CA187D"/>
    <w:rsid w:val="00CA4B7C"/>
    <w:rsid w:val="00CA5ED0"/>
    <w:rsid w:val="00CB0D3C"/>
    <w:rsid w:val="00CB432D"/>
    <w:rsid w:val="00CB4F9B"/>
    <w:rsid w:val="00CB6B23"/>
    <w:rsid w:val="00CB7EFB"/>
    <w:rsid w:val="00CC1432"/>
    <w:rsid w:val="00CC2739"/>
    <w:rsid w:val="00CC3508"/>
    <w:rsid w:val="00CC6C91"/>
    <w:rsid w:val="00CD663F"/>
    <w:rsid w:val="00CD6676"/>
    <w:rsid w:val="00CE5E6F"/>
    <w:rsid w:val="00CE77FA"/>
    <w:rsid w:val="00CF27F2"/>
    <w:rsid w:val="00CF3209"/>
    <w:rsid w:val="00D0545B"/>
    <w:rsid w:val="00D06F8A"/>
    <w:rsid w:val="00D13681"/>
    <w:rsid w:val="00D15225"/>
    <w:rsid w:val="00D153C3"/>
    <w:rsid w:val="00D15E2F"/>
    <w:rsid w:val="00D1681E"/>
    <w:rsid w:val="00D23AE4"/>
    <w:rsid w:val="00D23BBD"/>
    <w:rsid w:val="00D244EB"/>
    <w:rsid w:val="00D276ED"/>
    <w:rsid w:val="00D2796E"/>
    <w:rsid w:val="00D27B7B"/>
    <w:rsid w:val="00D34026"/>
    <w:rsid w:val="00D34DC8"/>
    <w:rsid w:val="00D3629D"/>
    <w:rsid w:val="00D40891"/>
    <w:rsid w:val="00D4196C"/>
    <w:rsid w:val="00D467AD"/>
    <w:rsid w:val="00D476A9"/>
    <w:rsid w:val="00D477CA"/>
    <w:rsid w:val="00D51F25"/>
    <w:rsid w:val="00D51FB9"/>
    <w:rsid w:val="00D520AD"/>
    <w:rsid w:val="00D52C6D"/>
    <w:rsid w:val="00D54FB9"/>
    <w:rsid w:val="00D579FF"/>
    <w:rsid w:val="00D57DAD"/>
    <w:rsid w:val="00D61181"/>
    <w:rsid w:val="00D630DE"/>
    <w:rsid w:val="00D6477A"/>
    <w:rsid w:val="00D6533A"/>
    <w:rsid w:val="00D65DF3"/>
    <w:rsid w:val="00D6783E"/>
    <w:rsid w:val="00D71686"/>
    <w:rsid w:val="00D7749C"/>
    <w:rsid w:val="00D77C0A"/>
    <w:rsid w:val="00D8080D"/>
    <w:rsid w:val="00D8305B"/>
    <w:rsid w:val="00D845C6"/>
    <w:rsid w:val="00D85985"/>
    <w:rsid w:val="00D878BC"/>
    <w:rsid w:val="00D94790"/>
    <w:rsid w:val="00D96BC6"/>
    <w:rsid w:val="00D97F93"/>
    <w:rsid w:val="00DA3F46"/>
    <w:rsid w:val="00DA57E6"/>
    <w:rsid w:val="00DA73DB"/>
    <w:rsid w:val="00DB021D"/>
    <w:rsid w:val="00DB06B8"/>
    <w:rsid w:val="00DB4D5C"/>
    <w:rsid w:val="00DB655B"/>
    <w:rsid w:val="00DB7AF6"/>
    <w:rsid w:val="00DC01A3"/>
    <w:rsid w:val="00DC06A1"/>
    <w:rsid w:val="00DC3918"/>
    <w:rsid w:val="00DC64F2"/>
    <w:rsid w:val="00DC7D91"/>
    <w:rsid w:val="00DD02A4"/>
    <w:rsid w:val="00DD1A45"/>
    <w:rsid w:val="00DD1A46"/>
    <w:rsid w:val="00DD2133"/>
    <w:rsid w:val="00DE092A"/>
    <w:rsid w:val="00DE17DA"/>
    <w:rsid w:val="00DE228D"/>
    <w:rsid w:val="00DE5030"/>
    <w:rsid w:val="00DE7000"/>
    <w:rsid w:val="00DF0ECA"/>
    <w:rsid w:val="00DF173A"/>
    <w:rsid w:val="00DF30F7"/>
    <w:rsid w:val="00DF6DA8"/>
    <w:rsid w:val="00E00CA4"/>
    <w:rsid w:val="00E13ACE"/>
    <w:rsid w:val="00E14A2F"/>
    <w:rsid w:val="00E220C6"/>
    <w:rsid w:val="00E247AD"/>
    <w:rsid w:val="00E2748C"/>
    <w:rsid w:val="00E3324E"/>
    <w:rsid w:val="00E33ECC"/>
    <w:rsid w:val="00E45AB5"/>
    <w:rsid w:val="00E47550"/>
    <w:rsid w:val="00E5271C"/>
    <w:rsid w:val="00E603A6"/>
    <w:rsid w:val="00E6164B"/>
    <w:rsid w:val="00E85F1A"/>
    <w:rsid w:val="00E8626E"/>
    <w:rsid w:val="00E86D04"/>
    <w:rsid w:val="00E90CCF"/>
    <w:rsid w:val="00E9116C"/>
    <w:rsid w:val="00E94BFE"/>
    <w:rsid w:val="00E9621D"/>
    <w:rsid w:val="00EA2A0A"/>
    <w:rsid w:val="00EA43F6"/>
    <w:rsid w:val="00EA6030"/>
    <w:rsid w:val="00EA6855"/>
    <w:rsid w:val="00EB086E"/>
    <w:rsid w:val="00EB49AB"/>
    <w:rsid w:val="00EC140B"/>
    <w:rsid w:val="00EC46C7"/>
    <w:rsid w:val="00EC54C9"/>
    <w:rsid w:val="00EC6188"/>
    <w:rsid w:val="00ED15A2"/>
    <w:rsid w:val="00ED4B4D"/>
    <w:rsid w:val="00ED500D"/>
    <w:rsid w:val="00EE28F6"/>
    <w:rsid w:val="00EE6D58"/>
    <w:rsid w:val="00EF1250"/>
    <w:rsid w:val="00EF3F6D"/>
    <w:rsid w:val="00EF72A9"/>
    <w:rsid w:val="00EF77B1"/>
    <w:rsid w:val="00EF77CE"/>
    <w:rsid w:val="00F01F4C"/>
    <w:rsid w:val="00F043BA"/>
    <w:rsid w:val="00F14EFF"/>
    <w:rsid w:val="00F20425"/>
    <w:rsid w:val="00F21FA4"/>
    <w:rsid w:val="00F22F5B"/>
    <w:rsid w:val="00F247B8"/>
    <w:rsid w:val="00F25D64"/>
    <w:rsid w:val="00F2777A"/>
    <w:rsid w:val="00F367B6"/>
    <w:rsid w:val="00F42EDC"/>
    <w:rsid w:val="00F44D7F"/>
    <w:rsid w:val="00F46A31"/>
    <w:rsid w:val="00F50999"/>
    <w:rsid w:val="00F52720"/>
    <w:rsid w:val="00F53C98"/>
    <w:rsid w:val="00F555C5"/>
    <w:rsid w:val="00F56007"/>
    <w:rsid w:val="00F56DC0"/>
    <w:rsid w:val="00F738E1"/>
    <w:rsid w:val="00F87124"/>
    <w:rsid w:val="00F87236"/>
    <w:rsid w:val="00F87665"/>
    <w:rsid w:val="00FA0336"/>
    <w:rsid w:val="00FA1642"/>
    <w:rsid w:val="00FA526D"/>
    <w:rsid w:val="00FB1978"/>
    <w:rsid w:val="00FB3375"/>
    <w:rsid w:val="00FB6924"/>
    <w:rsid w:val="00FB6FF0"/>
    <w:rsid w:val="00FB7E05"/>
    <w:rsid w:val="00FC0839"/>
    <w:rsid w:val="00FC1E65"/>
    <w:rsid w:val="00FC4B9F"/>
    <w:rsid w:val="00FC51A4"/>
    <w:rsid w:val="00FC6561"/>
    <w:rsid w:val="00FC7C62"/>
    <w:rsid w:val="00FE3FA6"/>
    <w:rsid w:val="00FF52E5"/>
    <w:rsid w:val="00FF65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4B8E"/>
  <w15:chartTrackingRefBased/>
  <w15:docId w15:val="{CEE33D53-CD42-4619-9A34-3C27BE92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333"/>
    <w:pPr>
      <w:ind w:left="720"/>
      <w:contextualSpacing/>
    </w:pPr>
  </w:style>
  <w:style w:type="paragraph" w:styleId="FootnoteText">
    <w:name w:val="footnote text"/>
    <w:basedOn w:val="Normal"/>
    <w:link w:val="FootnoteTextChar"/>
    <w:uiPriority w:val="99"/>
    <w:semiHidden/>
    <w:unhideWhenUsed/>
    <w:rsid w:val="00EE28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8F6"/>
    <w:rPr>
      <w:sz w:val="20"/>
      <w:szCs w:val="20"/>
    </w:rPr>
  </w:style>
  <w:style w:type="character" w:styleId="FootnoteReference">
    <w:name w:val="footnote reference"/>
    <w:basedOn w:val="DefaultParagraphFont"/>
    <w:uiPriority w:val="99"/>
    <w:semiHidden/>
    <w:unhideWhenUsed/>
    <w:rsid w:val="00EE28F6"/>
    <w:rPr>
      <w:vertAlign w:val="superscript"/>
    </w:rPr>
  </w:style>
  <w:style w:type="character" w:styleId="Hyperlink">
    <w:name w:val="Hyperlink"/>
    <w:basedOn w:val="DefaultParagraphFont"/>
    <w:uiPriority w:val="99"/>
    <w:unhideWhenUsed/>
    <w:rsid w:val="00BD37DA"/>
    <w:rPr>
      <w:color w:val="0563C1" w:themeColor="hyperlink"/>
      <w:u w:val="single"/>
    </w:rPr>
  </w:style>
  <w:style w:type="character" w:styleId="UnresolvedMention">
    <w:name w:val="Unresolved Mention"/>
    <w:basedOn w:val="DefaultParagraphFont"/>
    <w:uiPriority w:val="99"/>
    <w:semiHidden/>
    <w:unhideWhenUsed/>
    <w:rsid w:val="00BD37DA"/>
    <w:rPr>
      <w:color w:val="605E5C"/>
      <w:shd w:val="clear" w:color="auto" w:fill="E1DFDD"/>
    </w:rPr>
  </w:style>
  <w:style w:type="paragraph" w:styleId="Revision">
    <w:name w:val="Revision"/>
    <w:hidden/>
    <w:uiPriority w:val="99"/>
    <w:semiHidden/>
    <w:rsid w:val="006F381C"/>
    <w:pPr>
      <w:spacing w:after="0" w:line="240" w:lineRule="auto"/>
    </w:pPr>
  </w:style>
  <w:style w:type="paragraph" w:styleId="Header">
    <w:name w:val="header"/>
    <w:basedOn w:val="Normal"/>
    <w:link w:val="HeaderChar"/>
    <w:uiPriority w:val="99"/>
    <w:unhideWhenUsed/>
    <w:rsid w:val="000E7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06"/>
  </w:style>
  <w:style w:type="paragraph" w:styleId="Footer">
    <w:name w:val="footer"/>
    <w:basedOn w:val="Normal"/>
    <w:link w:val="FooterChar"/>
    <w:uiPriority w:val="99"/>
    <w:unhideWhenUsed/>
    <w:rsid w:val="000E7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A06"/>
  </w:style>
  <w:style w:type="character" w:styleId="Strong">
    <w:name w:val="Strong"/>
    <w:basedOn w:val="DefaultParagraphFont"/>
    <w:uiPriority w:val="22"/>
    <w:qFormat/>
    <w:rsid w:val="000E7A06"/>
    <w:rPr>
      <w:b/>
      <w:bCs/>
    </w:rPr>
  </w:style>
  <w:style w:type="character" w:styleId="Emphasis">
    <w:name w:val="Emphasis"/>
    <w:basedOn w:val="DefaultParagraphFont"/>
    <w:uiPriority w:val="20"/>
    <w:qFormat/>
    <w:rsid w:val="000E7A06"/>
    <w:rPr>
      <w:i/>
      <w:iCs/>
    </w:rPr>
  </w:style>
  <w:style w:type="paragraph" w:styleId="NormalWeb">
    <w:name w:val="Normal (Web)"/>
    <w:basedOn w:val="Normal"/>
    <w:uiPriority w:val="99"/>
    <w:unhideWhenUsed/>
    <w:rsid w:val="000E7A06"/>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7315">
      <w:bodyDiv w:val="1"/>
      <w:marLeft w:val="0"/>
      <w:marRight w:val="0"/>
      <w:marTop w:val="0"/>
      <w:marBottom w:val="0"/>
      <w:divBdr>
        <w:top w:val="none" w:sz="0" w:space="0" w:color="auto"/>
        <w:left w:val="none" w:sz="0" w:space="0" w:color="auto"/>
        <w:bottom w:val="none" w:sz="0" w:space="0" w:color="auto"/>
        <w:right w:val="none" w:sz="0" w:space="0" w:color="auto"/>
      </w:divBdr>
    </w:div>
    <w:div w:id="597912947">
      <w:bodyDiv w:val="1"/>
      <w:marLeft w:val="0"/>
      <w:marRight w:val="0"/>
      <w:marTop w:val="0"/>
      <w:marBottom w:val="0"/>
      <w:divBdr>
        <w:top w:val="none" w:sz="0" w:space="0" w:color="auto"/>
        <w:left w:val="none" w:sz="0" w:space="0" w:color="auto"/>
        <w:bottom w:val="none" w:sz="0" w:space="0" w:color="auto"/>
        <w:right w:val="none" w:sz="0" w:space="0" w:color="auto"/>
      </w:divBdr>
    </w:div>
    <w:div w:id="611668788">
      <w:bodyDiv w:val="1"/>
      <w:marLeft w:val="0"/>
      <w:marRight w:val="0"/>
      <w:marTop w:val="0"/>
      <w:marBottom w:val="0"/>
      <w:divBdr>
        <w:top w:val="none" w:sz="0" w:space="0" w:color="auto"/>
        <w:left w:val="none" w:sz="0" w:space="0" w:color="auto"/>
        <w:bottom w:val="none" w:sz="0" w:space="0" w:color="auto"/>
        <w:right w:val="none" w:sz="0" w:space="0" w:color="auto"/>
      </w:divBdr>
    </w:div>
    <w:div w:id="781605412">
      <w:bodyDiv w:val="1"/>
      <w:marLeft w:val="0"/>
      <w:marRight w:val="0"/>
      <w:marTop w:val="0"/>
      <w:marBottom w:val="0"/>
      <w:divBdr>
        <w:top w:val="none" w:sz="0" w:space="0" w:color="auto"/>
        <w:left w:val="none" w:sz="0" w:space="0" w:color="auto"/>
        <w:bottom w:val="none" w:sz="0" w:space="0" w:color="auto"/>
        <w:right w:val="none" w:sz="0" w:space="0" w:color="auto"/>
      </w:divBdr>
    </w:div>
    <w:div w:id="825778139">
      <w:bodyDiv w:val="1"/>
      <w:marLeft w:val="0"/>
      <w:marRight w:val="0"/>
      <w:marTop w:val="0"/>
      <w:marBottom w:val="0"/>
      <w:divBdr>
        <w:top w:val="none" w:sz="0" w:space="0" w:color="auto"/>
        <w:left w:val="none" w:sz="0" w:space="0" w:color="auto"/>
        <w:bottom w:val="none" w:sz="0" w:space="0" w:color="auto"/>
        <w:right w:val="none" w:sz="0" w:space="0" w:color="auto"/>
      </w:divBdr>
    </w:div>
    <w:div w:id="893465789">
      <w:bodyDiv w:val="1"/>
      <w:marLeft w:val="0"/>
      <w:marRight w:val="0"/>
      <w:marTop w:val="0"/>
      <w:marBottom w:val="0"/>
      <w:divBdr>
        <w:top w:val="none" w:sz="0" w:space="0" w:color="auto"/>
        <w:left w:val="none" w:sz="0" w:space="0" w:color="auto"/>
        <w:bottom w:val="none" w:sz="0" w:space="0" w:color="auto"/>
        <w:right w:val="none" w:sz="0" w:space="0" w:color="auto"/>
      </w:divBdr>
    </w:div>
    <w:div w:id="1013611007">
      <w:bodyDiv w:val="1"/>
      <w:marLeft w:val="0"/>
      <w:marRight w:val="0"/>
      <w:marTop w:val="0"/>
      <w:marBottom w:val="0"/>
      <w:divBdr>
        <w:top w:val="none" w:sz="0" w:space="0" w:color="auto"/>
        <w:left w:val="none" w:sz="0" w:space="0" w:color="auto"/>
        <w:bottom w:val="none" w:sz="0" w:space="0" w:color="auto"/>
        <w:right w:val="none" w:sz="0" w:space="0" w:color="auto"/>
      </w:divBdr>
    </w:div>
    <w:div w:id="1064915963">
      <w:bodyDiv w:val="1"/>
      <w:marLeft w:val="0"/>
      <w:marRight w:val="0"/>
      <w:marTop w:val="0"/>
      <w:marBottom w:val="0"/>
      <w:divBdr>
        <w:top w:val="none" w:sz="0" w:space="0" w:color="auto"/>
        <w:left w:val="none" w:sz="0" w:space="0" w:color="auto"/>
        <w:bottom w:val="none" w:sz="0" w:space="0" w:color="auto"/>
        <w:right w:val="none" w:sz="0" w:space="0" w:color="auto"/>
      </w:divBdr>
    </w:div>
    <w:div w:id="1129738908">
      <w:bodyDiv w:val="1"/>
      <w:marLeft w:val="0"/>
      <w:marRight w:val="0"/>
      <w:marTop w:val="0"/>
      <w:marBottom w:val="0"/>
      <w:divBdr>
        <w:top w:val="none" w:sz="0" w:space="0" w:color="auto"/>
        <w:left w:val="none" w:sz="0" w:space="0" w:color="auto"/>
        <w:bottom w:val="none" w:sz="0" w:space="0" w:color="auto"/>
        <w:right w:val="none" w:sz="0" w:space="0" w:color="auto"/>
      </w:divBdr>
    </w:div>
    <w:div w:id="1160734990">
      <w:bodyDiv w:val="1"/>
      <w:marLeft w:val="0"/>
      <w:marRight w:val="0"/>
      <w:marTop w:val="0"/>
      <w:marBottom w:val="0"/>
      <w:divBdr>
        <w:top w:val="none" w:sz="0" w:space="0" w:color="auto"/>
        <w:left w:val="none" w:sz="0" w:space="0" w:color="auto"/>
        <w:bottom w:val="none" w:sz="0" w:space="0" w:color="auto"/>
        <w:right w:val="none" w:sz="0" w:space="0" w:color="auto"/>
      </w:divBdr>
    </w:div>
    <w:div w:id="1238592013">
      <w:bodyDiv w:val="1"/>
      <w:marLeft w:val="0"/>
      <w:marRight w:val="0"/>
      <w:marTop w:val="0"/>
      <w:marBottom w:val="0"/>
      <w:divBdr>
        <w:top w:val="none" w:sz="0" w:space="0" w:color="auto"/>
        <w:left w:val="none" w:sz="0" w:space="0" w:color="auto"/>
        <w:bottom w:val="none" w:sz="0" w:space="0" w:color="auto"/>
        <w:right w:val="none" w:sz="0" w:space="0" w:color="auto"/>
      </w:divBdr>
    </w:div>
    <w:div w:id="1441217292">
      <w:bodyDiv w:val="1"/>
      <w:marLeft w:val="0"/>
      <w:marRight w:val="0"/>
      <w:marTop w:val="0"/>
      <w:marBottom w:val="0"/>
      <w:divBdr>
        <w:top w:val="none" w:sz="0" w:space="0" w:color="auto"/>
        <w:left w:val="none" w:sz="0" w:space="0" w:color="auto"/>
        <w:bottom w:val="none" w:sz="0" w:space="0" w:color="auto"/>
        <w:right w:val="none" w:sz="0" w:space="0" w:color="auto"/>
      </w:divBdr>
    </w:div>
    <w:div w:id="1461924506">
      <w:bodyDiv w:val="1"/>
      <w:marLeft w:val="0"/>
      <w:marRight w:val="0"/>
      <w:marTop w:val="0"/>
      <w:marBottom w:val="0"/>
      <w:divBdr>
        <w:top w:val="none" w:sz="0" w:space="0" w:color="auto"/>
        <w:left w:val="none" w:sz="0" w:space="0" w:color="auto"/>
        <w:bottom w:val="none" w:sz="0" w:space="0" w:color="auto"/>
        <w:right w:val="none" w:sz="0" w:space="0" w:color="auto"/>
      </w:divBdr>
    </w:div>
    <w:div w:id="1482386564">
      <w:bodyDiv w:val="1"/>
      <w:marLeft w:val="0"/>
      <w:marRight w:val="0"/>
      <w:marTop w:val="0"/>
      <w:marBottom w:val="0"/>
      <w:divBdr>
        <w:top w:val="none" w:sz="0" w:space="0" w:color="auto"/>
        <w:left w:val="none" w:sz="0" w:space="0" w:color="auto"/>
        <w:bottom w:val="none" w:sz="0" w:space="0" w:color="auto"/>
        <w:right w:val="none" w:sz="0" w:space="0" w:color="auto"/>
      </w:divBdr>
    </w:div>
    <w:div w:id="1511027482">
      <w:bodyDiv w:val="1"/>
      <w:marLeft w:val="0"/>
      <w:marRight w:val="0"/>
      <w:marTop w:val="0"/>
      <w:marBottom w:val="0"/>
      <w:divBdr>
        <w:top w:val="none" w:sz="0" w:space="0" w:color="auto"/>
        <w:left w:val="none" w:sz="0" w:space="0" w:color="auto"/>
        <w:bottom w:val="none" w:sz="0" w:space="0" w:color="auto"/>
        <w:right w:val="none" w:sz="0" w:space="0" w:color="auto"/>
      </w:divBdr>
    </w:div>
    <w:div w:id="20183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n21001@mail.unpad.ac.id" TargetMode="External"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icmagroup.org/assets/documents/Regulatory/Green-Bonds/GreenBondsBrochure-JUNE2017.pdf"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academia.edu/31116973/Accounting_And_Auditing_Organization_For_Islamic_Financial_Institutions_AAOIFI"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s://creativecommons.org/licenses/by-nc/4.0/" TargetMode="Externa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fontTable" Target="fontTable.xml" /></Relationships>
</file>

<file path=word/_rels/footnotes.xml.rels><?xml version="1.0" encoding="UTF-8" standalone="yes"?>
<Relationships xmlns="http://schemas.openxmlformats.org/package/2006/relationships"><Relationship Id="rId3" Type="http://schemas.openxmlformats.org/officeDocument/2006/relationships/hyperlink" Target="https://www.djppr.kemenkeu.go.id/governmentsecuritiesframework" TargetMode="External" /><Relationship Id="rId2" Type="http://schemas.openxmlformats.org/officeDocument/2006/relationships/hyperlink" Target="https://www.icmagroup.org/assets/documents/Regulatory/Green-Bonds/GreenBondsBrochure-JUNE2017.pdf" TargetMode="External" /><Relationship Id="rId1" Type="http://schemas.openxmlformats.org/officeDocument/2006/relationships/hyperlink" Target="https://www.academia.edu/31116973/Accounting_And_Auditing_Organization_For_Islamic_Financial_Institutions_AAOIF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B4711-0BD6-41CD-9CF4-B1849329F74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6437</Words>
  <Characters>36696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AZP - MZA</dc:creator>
  <cp:keywords/>
  <dc:description/>
  <cp:lastModifiedBy>Hayna Kim</cp:lastModifiedBy>
  <cp:revision>2</cp:revision>
  <dcterms:created xsi:type="dcterms:W3CDTF">2025-09-24T07:00:00Z</dcterms:created>
  <dcterms:modified xsi:type="dcterms:W3CDTF">2025-09-24T07:00:00Z</dcterms:modified>
</cp:coreProperties>
</file>